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Work Sans" w:cs="Work Sans" w:eastAsia="Work Sans" w:hAnsi="Work San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Work Sans" w:cs="Work Sans" w:eastAsia="Work Sans" w:hAnsi="Work Sans"/>
          <w:sz w:val="20"/>
          <w:szCs w:val="20"/>
          <w:rtl w:val="0"/>
        </w:rPr>
        <w:t xml:space="preserve">Etap </w:t>
      </w:r>
      <w:r w:rsidDel="00000000" w:rsidR="00000000" w:rsidRPr="00000000">
        <w:rPr>
          <w:rFonts w:ascii="Work Sans" w:cs="Work Sans" w:eastAsia="Work Sans" w:hAnsi="Work San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Work Sans" w:cs="Work Sans" w:eastAsia="Work Sans" w:hAnsi="Work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Work Sans" w:cs="Work Sans" w:eastAsia="Work Sans" w:hAnsi="Work Sans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center"/>
        <w:rPr>
          <w:rFonts w:ascii="Work Sans" w:cs="Work Sans" w:eastAsia="Work Sans" w:hAnsi="Work Sans"/>
          <w:b w:val="1"/>
          <w:sz w:val="38"/>
          <w:szCs w:val="38"/>
        </w:rPr>
      </w:pPr>
      <w:r w:rsidDel="00000000" w:rsidR="00000000" w:rsidRPr="00000000">
        <w:rPr>
          <w:rFonts w:ascii="Work Sans" w:cs="Work Sans" w:eastAsia="Work Sans" w:hAnsi="Work Sans"/>
          <w:b w:val="1"/>
          <w:sz w:val="38"/>
          <w:szCs w:val="38"/>
          <w:rtl w:val="0"/>
        </w:rPr>
        <w:t xml:space="preserve">Scenariusz zajęć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center"/>
        <w:rPr>
          <w:rFonts w:ascii="Work Sans" w:cs="Work Sans" w:eastAsia="Work Sans" w:hAnsi="Work Sans"/>
          <w:b w:val="1"/>
          <w:sz w:val="38"/>
          <w:szCs w:val="38"/>
        </w:rPr>
      </w:pPr>
      <w:r w:rsidDel="00000000" w:rsidR="00000000" w:rsidRPr="00000000">
        <w:rPr>
          <w:rFonts w:ascii="Work Sans" w:cs="Work Sans" w:eastAsia="Work Sans" w:hAnsi="Work Sans"/>
          <w:b w:val="1"/>
          <w:sz w:val="38"/>
          <w:szCs w:val="38"/>
          <w:rtl w:val="0"/>
        </w:rPr>
        <w:t xml:space="preserve">dla szkoły ponadpodstawowej </w:t>
      </w:r>
    </w:p>
    <w:p w:rsidR="00000000" w:rsidDel="00000000" w:rsidP="00000000" w:rsidRDefault="00000000" w:rsidRPr="00000000" w14:paraId="00000008">
      <w:pPr>
        <w:spacing w:line="276" w:lineRule="auto"/>
        <w:jc w:val="center"/>
        <w:rPr>
          <w:rFonts w:ascii="Work Sans" w:cs="Work Sans" w:eastAsia="Work Sans" w:hAnsi="Work Sans"/>
          <w:b w:val="1"/>
          <w:sz w:val="38"/>
          <w:szCs w:val="38"/>
        </w:rPr>
      </w:pPr>
      <w:r w:rsidDel="00000000" w:rsidR="00000000" w:rsidRPr="00000000">
        <w:rPr>
          <w:rFonts w:ascii="Work Sans" w:cs="Work Sans" w:eastAsia="Work Sans" w:hAnsi="Work Sans"/>
          <w:b w:val="1"/>
          <w:sz w:val="38"/>
          <w:szCs w:val="38"/>
          <w:rtl w:val="0"/>
        </w:rPr>
        <w:t xml:space="preserve">nr 1 (według serii 2)</w:t>
      </w:r>
    </w:p>
    <w:p w:rsidR="00000000" w:rsidDel="00000000" w:rsidP="00000000" w:rsidRDefault="00000000" w:rsidRPr="00000000" w14:paraId="00000009">
      <w:pPr>
        <w:spacing w:line="276" w:lineRule="auto"/>
        <w:jc w:val="center"/>
        <w:rPr>
          <w:rFonts w:ascii="Work Sans" w:cs="Work Sans" w:eastAsia="Work Sans" w:hAnsi="Work Sans"/>
          <w:b w:val="1"/>
          <w:sz w:val="32"/>
          <w:szCs w:val="32"/>
        </w:rPr>
      </w:pPr>
      <w:r w:rsidDel="00000000" w:rsidR="00000000" w:rsidRPr="00000000">
        <w:rPr>
          <w:rFonts w:ascii="Work Sans" w:cs="Work Sans" w:eastAsia="Work Sans" w:hAnsi="Work Sans"/>
          <w:b w:val="1"/>
          <w:sz w:val="32"/>
          <w:szCs w:val="32"/>
        </w:rPr>
        <w:drawing>
          <wp:inline distB="114300" distT="114300" distL="114300" distR="114300">
            <wp:extent cx="1325400" cy="1399407"/>
            <wp:effectExtent b="0" l="0" r="0" t="0"/>
            <wp:docPr id="199983495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5400" cy="13994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center"/>
        <w:rPr>
          <w:rFonts w:ascii="Work Sans" w:cs="Work Sans" w:eastAsia="Work Sans" w:hAnsi="Work Sans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center"/>
        <w:rPr>
          <w:rFonts w:ascii="Work Sans" w:cs="Work Sans" w:eastAsia="Work Sans" w:hAnsi="Work Sans"/>
          <w:sz w:val="36"/>
          <w:szCs w:val="36"/>
        </w:rPr>
      </w:pPr>
      <w:r w:rsidDel="00000000" w:rsidR="00000000" w:rsidRPr="00000000">
        <w:rPr>
          <w:rFonts w:ascii="Work Sans" w:cs="Work Sans" w:eastAsia="Work Sans" w:hAnsi="Work Sans"/>
          <w:rtl w:val="0"/>
        </w:rPr>
        <w:t xml:space="preserve">Nazwa innowacji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76" w:lineRule="auto"/>
        <w:jc w:val="center"/>
        <w:rPr>
          <w:rFonts w:ascii="Work Sans" w:cs="Work Sans" w:eastAsia="Work Sans" w:hAnsi="Work Sans"/>
          <w:b w:val="1"/>
          <w:sz w:val="34"/>
          <w:szCs w:val="34"/>
        </w:rPr>
      </w:pPr>
      <w:r w:rsidDel="00000000" w:rsidR="00000000" w:rsidRPr="00000000">
        <w:rPr>
          <w:rFonts w:ascii="Work Sans" w:cs="Work Sans" w:eastAsia="Work Sans" w:hAnsi="Work Sans"/>
          <w:b w:val="1"/>
          <w:sz w:val="34"/>
          <w:szCs w:val="34"/>
          <w:rtl w:val="0"/>
        </w:rPr>
        <w:t xml:space="preserve">JĘZYK CHEMII 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3"/>
        </w:numPr>
        <w:spacing w:after="0" w:line="276" w:lineRule="auto"/>
        <w:ind w:left="720" w:hanging="360"/>
        <w:jc w:val="center"/>
        <w:rPr>
          <w:rFonts w:ascii="Work Sans" w:cs="Work Sans" w:eastAsia="Work Sans" w:hAnsi="Work Sans"/>
          <w:b w:val="1"/>
          <w:sz w:val="34"/>
          <w:szCs w:val="34"/>
        </w:rPr>
      </w:pPr>
      <w:r w:rsidDel="00000000" w:rsidR="00000000" w:rsidRPr="00000000">
        <w:rPr>
          <w:rFonts w:ascii="Work Sans" w:cs="Work Sans" w:eastAsia="Work Sans" w:hAnsi="Work Sans"/>
          <w:b w:val="1"/>
          <w:sz w:val="34"/>
          <w:szCs w:val="34"/>
          <w:rtl w:val="0"/>
        </w:rPr>
        <w:t xml:space="preserve">PRZEPUSTKA DO NIESAMOWITEGO UNIWERSUM</w:t>
      </w:r>
    </w:p>
    <w:p w:rsidR="00000000" w:rsidDel="00000000" w:rsidP="00000000" w:rsidRDefault="00000000" w:rsidRPr="00000000" w14:paraId="0000000E">
      <w:pPr>
        <w:spacing w:line="276" w:lineRule="auto"/>
        <w:jc w:val="center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center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left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center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Fonts w:ascii="Work Sans" w:cs="Work Sans" w:eastAsia="Work Sans" w:hAnsi="Work Sans"/>
          <w:sz w:val="26"/>
          <w:szCs w:val="26"/>
          <w:rtl w:val="0"/>
        </w:rPr>
        <w:t xml:space="preserve">Materiał powstał w ramach umowy o powierzenie grantu 67/</w:t>
      </w:r>
      <w:r w:rsidDel="00000000" w:rsidR="00000000" w:rsidRPr="00000000">
        <w:rPr>
          <w:rFonts w:ascii="Work Sans" w:cs="Work Sans" w:eastAsia="Work Sans" w:hAnsi="Work Sans"/>
          <w:sz w:val="26"/>
          <w:szCs w:val="26"/>
          <w:rtl w:val="0"/>
        </w:rPr>
        <w:t xml:space="preserve">POPO</w:t>
      </w:r>
      <w:r w:rsidDel="00000000" w:rsidR="00000000" w:rsidRPr="00000000">
        <w:rPr>
          <w:rFonts w:ascii="Work Sans" w:cs="Work Sans" w:eastAsia="Work Sans" w:hAnsi="Work Sans"/>
          <w:sz w:val="26"/>
          <w:szCs w:val="26"/>
          <w:rtl w:val="0"/>
        </w:rPr>
        <w:t xml:space="preserve">/2024, </w:t>
      </w:r>
    </w:p>
    <w:p w:rsidR="00000000" w:rsidDel="00000000" w:rsidP="00000000" w:rsidRDefault="00000000" w:rsidRPr="00000000" w14:paraId="00000012">
      <w:pPr>
        <w:spacing w:after="0" w:line="276" w:lineRule="auto"/>
        <w:jc w:val="center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Fonts w:ascii="Work Sans" w:cs="Work Sans" w:eastAsia="Work Sans" w:hAnsi="Work Sans"/>
          <w:sz w:val="26"/>
          <w:szCs w:val="26"/>
          <w:rtl w:val="0"/>
        </w:rPr>
        <w:t xml:space="preserve">realizowanej w projekcie </w:t>
      </w:r>
    </w:p>
    <w:p w:rsidR="00000000" w:rsidDel="00000000" w:rsidP="00000000" w:rsidRDefault="00000000" w:rsidRPr="00000000" w14:paraId="00000013">
      <w:pPr>
        <w:spacing w:after="0" w:line="276" w:lineRule="auto"/>
        <w:jc w:val="center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Fonts w:ascii="Work Sans" w:cs="Work Sans" w:eastAsia="Work Sans" w:hAnsi="Work Sans"/>
          <w:sz w:val="26"/>
          <w:szCs w:val="26"/>
          <w:rtl w:val="0"/>
        </w:rPr>
        <w:t xml:space="preserve">„POPOJUTRZE 3.0 – KSZTAŁCENIE” </w:t>
      </w:r>
    </w:p>
    <w:p w:rsidR="00000000" w:rsidDel="00000000" w:rsidP="00000000" w:rsidRDefault="00000000" w:rsidRPr="00000000" w14:paraId="00000014">
      <w:pPr>
        <w:spacing w:after="0" w:line="276" w:lineRule="auto"/>
        <w:jc w:val="center"/>
        <w:rPr>
          <w:rFonts w:ascii="Work Sans" w:cs="Work Sans" w:eastAsia="Work Sans" w:hAnsi="Work Sans"/>
          <w:sz w:val="26"/>
          <w:szCs w:val="26"/>
        </w:rPr>
      </w:pPr>
      <w:r w:rsidDel="00000000" w:rsidR="00000000" w:rsidRPr="00000000">
        <w:rPr>
          <w:rFonts w:ascii="Work Sans" w:cs="Work Sans" w:eastAsia="Work Sans" w:hAnsi="Work Sans"/>
          <w:sz w:val="26"/>
          <w:szCs w:val="26"/>
          <w:rtl w:val="0"/>
        </w:rPr>
        <w:t xml:space="preserve">(FERS.05.01-IZ.00-0007/23)</w:t>
      </w:r>
    </w:p>
    <w:p w:rsidR="00000000" w:rsidDel="00000000" w:rsidP="00000000" w:rsidRDefault="00000000" w:rsidRPr="00000000" w14:paraId="00000015">
      <w:pPr>
        <w:spacing w:line="276" w:lineRule="auto"/>
        <w:rPr>
          <w:rFonts w:ascii="Work Sans" w:cs="Work Sans" w:eastAsia="Work Sans" w:hAnsi="Work Sans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720" w:right="0" w:hanging="360"/>
        <w:jc w:val="left"/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720" w:right="0" w:firstLine="360"/>
        <w:jc w:val="left"/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Spis treści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9">
          <w:pPr>
            <w:widowControl w:val="0"/>
            <w:tabs>
              <w:tab w:val="right" w:leader="none" w:pos="12000"/>
            </w:tabs>
            <w:spacing w:after="0" w:before="60" w:line="276" w:lineRule="auto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h.gjdgxs">
            <w:r w:rsidDel="00000000" w:rsidR="00000000" w:rsidRPr="00000000">
              <w:rPr>
                <w:rFonts w:ascii="Work Sans" w:cs="Work Sans" w:eastAsia="Work Sans" w:hAnsi="Work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</w:t>
            </w:r>
          </w:hyperlink>
          <w:hyperlink w:anchor="_heading=h.gjdgxs">
            <w:r w:rsidDel="00000000" w:rsidR="00000000" w:rsidRPr="00000000">
              <w:rPr>
                <w:rFonts w:ascii="Work Sans" w:cs="Work Sans" w:eastAsia="Work Sans" w:hAnsi="Work San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Wprowadzenie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widowControl w:val="0"/>
            <w:tabs>
              <w:tab w:val="right" w:leader="none" w:pos="12000"/>
            </w:tabs>
            <w:spacing w:after="0" w:before="60" w:line="276" w:lineRule="auto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Work Sans" w:cs="Work Sans" w:eastAsia="Work Sans" w:hAnsi="Work San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Wymagane materiały i narzędzia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widowControl w:val="0"/>
            <w:tabs>
              <w:tab w:val="right" w:leader="none" w:pos="12000"/>
            </w:tabs>
            <w:spacing w:after="0" w:before="60" w:line="276" w:lineRule="auto"/>
            <w:rPr>
              <w:rFonts w:ascii="Arial" w:cs="Arial" w:eastAsia="Arial" w:hAnsi="Arial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uw31uzgzkwlu"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Przebieg zajęć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widowControl w:val="0"/>
            <w:tabs>
              <w:tab w:val="right" w:leader="none" w:pos="12000"/>
            </w:tabs>
            <w:spacing w:after="0" w:before="60" w:line="276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Work Sans" w:cs="Work Sans" w:eastAsia="Work Sans" w:hAnsi="Work San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Sugestie dla nauczyciela</w:t>
            </w:r>
          </w:hyperlink>
          <w:hyperlink w:anchor="_heading=h.2et92p0">
            <w:r w:rsidDel="00000000" w:rsidR="00000000" w:rsidRPr="00000000">
              <w:rPr>
                <w:rFonts w:ascii="Work Sans" w:cs="Work Sans" w:eastAsia="Work Sans" w:hAnsi="Work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D">
      <w:pPr>
        <w:spacing w:line="276" w:lineRule="auto"/>
        <w:rPr>
          <w:rFonts w:ascii="Work Sans" w:cs="Work Sans" w:eastAsia="Work Sans" w:hAnsi="Work Sans"/>
          <w:color w:val="2e75b5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1"/>
        <w:keepLines w:val="1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720" w:right="0" w:hanging="360"/>
        <w:jc w:val="left"/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Wprowadzenie</w:t>
      </w:r>
    </w:p>
    <w:p w:rsidR="00000000" w:rsidDel="00000000" w:rsidP="00000000" w:rsidRDefault="00000000" w:rsidRPr="00000000" w14:paraId="0000001F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Temat lekcji: </w:t>
      </w:r>
      <w:r w:rsidDel="00000000" w:rsidR="00000000" w:rsidRPr="00000000">
        <w:rPr>
          <w:rFonts w:ascii="Lexend" w:cs="Lexend" w:eastAsia="Lexend" w:hAnsi="Lexend"/>
          <w:rtl w:val="0"/>
        </w:rPr>
        <w:t xml:space="preserve"> Języki chemii: wprowadzenie do adnotacji chemicznej</w:t>
      </w:r>
    </w:p>
    <w:p w:rsidR="00000000" w:rsidDel="00000000" w:rsidP="00000000" w:rsidRDefault="00000000" w:rsidRPr="00000000" w14:paraId="00000021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Czas trwania: </w:t>
      </w:r>
      <w:r w:rsidDel="00000000" w:rsidR="00000000" w:rsidRPr="00000000">
        <w:rPr>
          <w:rFonts w:ascii="Lexend" w:cs="Lexend" w:eastAsia="Lexend" w:hAnsi="Lexend"/>
          <w:rtl w:val="0"/>
        </w:rPr>
        <w:t xml:space="preserve">45 minut</w:t>
      </w:r>
    </w:p>
    <w:p w:rsidR="00000000" w:rsidDel="00000000" w:rsidP="00000000" w:rsidRDefault="00000000" w:rsidRPr="00000000" w14:paraId="00000022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Grupa docelowa: </w:t>
      </w:r>
      <w:r w:rsidDel="00000000" w:rsidR="00000000" w:rsidRPr="00000000">
        <w:rPr>
          <w:rFonts w:ascii="Lexend" w:cs="Lexend" w:eastAsia="Lexend" w:hAnsi="Lexend"/>
          <w:rtl w:val="0"/>
        </w:rPr>
        <w:t xml:space="preserve">uczniowie klasy 1 szkoły ponadpodstawowej  (jedne z początkowych lekcji chemii)</w:t>
      </w:r>
    </w:p>
    <w:p w:rsidR="00000000" w:rsidDel="00000000" w:rsidP="00000000" w:rsidRDefault="00000000" w:rsidRPr="00000000" w14:paraId="00000023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Cel lekcji: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line="276" w:lineRule="auto"/>
        <w:ind w:left="720" w:hanging="360"/>
        <w:rPr>
          <w:rFonts w:ascii="Lexend" w:cs="Lexend" w:eastAsia="Lexend" w:hAnsi="Lexend"/>
          <w:u w:val="none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Uczniowie przypomną  symbole chemiczne i wzory związków chemicznych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line="276" w:lineRule="auto"/>
        <w:ind w:left="720" w:hanging="360"/>
        <w:rPr>
          <w:rFonts w:ascii="Lexend" w:cs="Lexend" w:eastAsia="Lexend" w:hAnsi="Lexend"/>
          <w:u w:val="none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podstaw zapisu wzorów chemicznych prostych związków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line="276" w:lineRule="auto"/>
        <w:ind w:left="720" w:hanging="360"/>
        <w:rPr>
          <w:rFonts w:ascii="Lexend" w:cs="Lexend" w:eastAsia="Lexend" w:hAnsi="Lexend"/>
          <w:u w:val="none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Uczniowie zrozumieją  co to jest wartościowość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line="276" w:lineRule="auto"/>
        <w:ind w:left="720" w:hanging="360"/>
        <w:rPr>
          <w:rFonts w:ascii="Lexend" w:cs="Lexend" w:eastAsia="Lexend" w:hAnsi="Lexend"/>
          <w:u w:val="none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Przypomną sobie co to są przemiany chemiczne lub fizyczne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line="276" w:lineRule="auto"/>
        <w:ind w:left="720" w:hanging="360"/>
        <w:rPr>
          <w:rFonts w:ascii="Lexend" w:cs="Lexend" w:eastAsia="Lexend" w:hAnsi="Lexend"/>
          <w:u w:val="none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Uczniowie zapoznają się z aplikacją AR umożliwiającą wizualizację związków chemicznych w przestrzeni.</w:t>
      </w:r>
    </w:p>
    <w:p w:rsidR="00000000" w:rsidDel="00000000" w:rsidP="00000000" w:rsidRDefault="00000000" w:rsidRPr="00000000" w14:paraId="00000029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keepLines w:val="1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720" w:right="0" w:hanging="360"/>
        <w:jc w:val="left"/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Wymagane materiały i narzędzia</w:t>
      </w:r>
    </w:p>
    <w:p w:rsidR="00000000" w:rsidDel="00000000" w:rsidP="00000000" w:rsidRDefault="00000000" w:rsidRPr="00000000" w14:paraId="0000002D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Fonts w:ascii="Work Sans" w:cs="Work Sans" w:eastAsia="Work Sans" w:hAnsi="Work Sans"/>
          <w:sz w:val="20"/>
          <w:szCs w:val="20"/>
          <w:rtl w:val="0"/>
        </w:rPr>
        <w:t xml:space="preserve">Do przeprowadzenia zajęć wymagane jest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0" w:line="276" w:lineRule="auto"/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Tablica interaktywna lub projektor podłączona do komputera, na którym zainstalowane jest oprogramowanie  Język Chemii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0" w:line="276" w:lineRule="auto"/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Aplikacja AR do wizualizacji związków chemicznych na tabletach lub smartfonach uczniów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0" w:line="276" w:lineRule="auto"/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Kartki, długopisy/ołówki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spacing w:after="0" w:line="276" w:lineRule="auto"/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Karty związków i pierwiastków:  H2, O2,  H₂O, CO₂, NaCl, CH₄</w:t>
      </w:r>
    </w:p>
    <w:p w:rsidR="00000000" w:rsidDel="00000000" w:rsidP="00000000" w:rsidRDefault="00000000" w:rsidRPr="00000000" w14:paraId="00000033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1"/>
        <w:keepLines w:val="1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720" w:right="0" w:hanging="360"/>
        <w:jc w:val="left"/>
        <w:rPr/>
      </w:pPr>
      <w:bookmarkStart w:colFirst="0" w:colLast="0" w:name="_heading=h.uw31uzgzkwlu" w:id="2"/>
      <w:bookmarkEnd w:id="2"/>
      <w:r w:rsidDel="00000000" w:rsidR="00000000" w:rsidRPr="00000000"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Przebieg zajęć</w:t>
      </w:r>
    </w:p>
    <w:p w:rsidR="00000000" w:rsidDel="00000000" w:rsidP="00000000" w:rsidRDefault="00000000" w:rsidRPr="00000000" w14:paraId="0000003E">
      <w:pPr>
        <w:spacing w:after="0" w:line="276" w:lineRule="auto"/>
        <w:rPr>
          <w:rFonts w:ascii="Work Sans" w:cs="Work Sans" w:eastAsia="Work Sans" w:hAnsi="Work Sans"/>
          <w:b w:val="1"/>
          <w:color w:val="00206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1. Wprowadzenie (10 minut)</w:t>
      </w:r>
    </w:p>
    <w:p w:rsidR="00000000" w:rsidDel="00000000" w:rsidP="00000000" w:rsidRDefault="00000000" w:rsidRPr="00000000" w14:paraId="00000040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Cel cząstkowy:  Zaciekawienie tematem i wyjaśnienie celu zajęć.</w:t>
      </w:r>
    </w:p>
    <w:p w:rsidR="00000000" w:rsidDel="00000000" w:rsidP="00000000" w:rsidRDefault="00000000" w:rsidRPr="00000000" w14:paraId="00000041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Rozpoczęcie zajęć: </w:t>
      </w:r>
    </w:p>
    <w:p w:rsidR="00000000" w:rsidDel="00000000" w:rsidP="00000000" w:rsidRDefault="00000000" w:rsidRPr="00000000" w14:paraId="00000044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Nauczyciel wita uczniów i zadaje pytanie:</w:t>
      </w:r>
    </w:p>
    <w:p w:rsidR="00000000" w:rsidDel="00000000" w:rsidP="00000000" w:rsidRDefault="00000000" w:rsidRPr="00000000" w14:paraId="00000045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"Jak możemy zobaczyć materię?"</w:t>
      </w:r>
    </w:p>
    <w:p w:rsidR="00000000" w:rsidDel="00000000" w:rsidP="00000000" w:rsidRDefault="00000000" w:rsidRPr="00000000" w14:paraId="00000046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Uczniowie mogą zgłaszać pomysły ( mikroskopy itp.)</w:t>
      </w:r>
    </w:p>
    <w:p w:rsidR="00000000" w:rsidDel="00000000" w:rsidP="00000000" w:rsidRDefault="00000000" w:rsidRPr="00000000" w14:paraId="00000047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Wchodzenia w głąb materii</w:t>
      </w:r>
    </w:p>
    <w:p w:rsidR="00000000" w:rsidDel="00000000" w:rsidP="00000000" w:rsidRDefault="00000000" w:rsidRPr="00000000" w14:paraId="00000049">
      <w:pPr>
        <w:spacing w:after="0" w:line="276" w:lineRule="auto"/>
        <w:ind w:left="0" w:firstLine="72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Popatrzcie na mikroskop optyczny. Widzimy światło odbite lub przechodzące. Ale tą techniką nie jesteśmy w stanie zobaczyć atomów.</w:t>
      </w:r>
    </w:p>
    <w:p w:rsidR="00000000" w:rsidDel="00000000" w:rsidP="00000000" w:rsidRDefault="00000000" w:rsidRPr="00000000" w14:paraId="0000004B">
      <w:pPr>
        <w:spacing w:after="0" w:line="276" w:lineRule="auto"/>
        <w:ind w:left="0" w:firstLine="72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Popatrzmy na mikroskop AFM. Jest tam takie ostrze, które skanuje powierzchnię materii. Układ mierzy prąd. I jesteśmy w stanie zobaczyć powierzchnię atomów.</w:t>
      </w:r>
    </w:p>
    <w:p w:rsidR="00000000" w:rsidDel="00000000" w:rsidP="00000000" w:rsidRDefault="00000000" w:rsidRPr="00000000" w14:paraId="0000004D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Mamy też mikroskop elektronowy, zamiast światła jak w mikroskopie optycznym jest wiązka elektronów. Widzimy atomy w postaci ciemniejszych pól. </w:t>
      </w:r>
    </w:p>
    <w:p w:rsidR="00000000" w:rsidDel="00000000" w:rsidP="00000000" w:rsidRDefault="00000000" w:rsidRPr="00000000" w14:paraId="0000004F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Widzicie, że nie jest to takie łatwe i dopiero w ostatnich dziesięcioleciach jesteśmy w stanie zobaczyć.</w:t>
      </w:r>
    </w:p>
    <w:p w:rsidR="00000000" w:rsidDel="00000000" w:rsidP="00000000" w:rsidRDefault="00000000" w:rsidRPr="00000000" w14:paraId="00000051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76" w:lineRule="auto"/>
        <w:ind w:left="0" w:firstLine="0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Zobaczyć co się dzieje w materii</w:t>
      </w:r>
    </w:p>
    <w:p w:rsidR="00000000" w:rsidDel="00000000" w:rsidP="00000000" w:rsidRDefault="00000000" w:rsidRPr="00000000" w14:paraId="00000053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 </w:t>
      </w:r>
    </w:p>
    <w:p w:rsidR="00000000" w:rsidDel="00000000" w:rsidP="00000000" w:rsidRDefault="00000000" w:rsidRPr="00000000" w14:paraId="00000054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Atomy w ciele stałym są nieruchome, drgają. Zaś w cieczy poruszają się, a najszybciej poruszają się w gazach.  W cieczy możemy zobaczyć jak cząsteczki wody poruszają się.  Bierzemy szkiełko zegarkowe (kuwetę) i nalewamy wodę. Na jej powierzchni dodajemy kroplę alkoholu amylowego lub benzyny lub oleju. Bierzmy wodę i patrzymy pod mikroskopem. Widzimy, że te koraliki drgają. Są to ruchu spowodowane tym, że pojedyncze cząsteczki wody uderzają o koralik (fazę oleistą) i ją przesuwa. To drganie, które widzimy jest to wypadkowa sił uderzenia. Zjawisko to nazywa się ruchami Browna. </w:t>
      </w:r>
    </w:p>
    <w:p w:rsidR="00000000" w:rsidDel="00000000" w:rsidP="00000000" w:rsidRDefault="00000000" w:rsidRPr="00000000" w14:paraId="00000055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Opisać materię</w:t>
      </w:r>
    </w:p>
    <w:p w:rsidR="00000000" w:rsidDel="00000000" w:rsidP="00000000" w:rsidRDefault="00000000" w:rsidRPr="00000000" w14:paraId="0000005B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Kiedy już widzimy materię od strony atomów lub połączenie pojedynczych cząsteczek, to teraz czas na opisywanie. Tak aby móc ze sobą komunikować się, wymieniać informację, oraz opisywać w sposób zwięzły.</w:t>
      </w:r>
    </w:p>
    <w:p w:rsidR="00000000" w:rsidDel="00000000" w:rsidP="00000000" w:rsidRDefault="00000000" w:rsidRPr="00000000" w14:paraId="0000005C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Mamy tą cząsteczkę wody  (struktura cząstki  3D). Atomy pokazujemy w kształcie kuli wiązania w postaci belki łączącej atomy.  Takie malowanie przestrzeni kulek byłoby trudne i czasochłonne dlatego wprowadzono wzory strukturalne  (wzór kreskowy). Dla każdego rodzaju atomu pierwiastka jest niepowtarzalny symbol. Zaś wiązania są pokazywane jako kreska. </w:t>
      </w:r>
    </w:p>
    <w:p w:rsidR="00000000" w:rsidDel="00000000" w:rsidP="00000000" w:rsidRDefault="00000000" w:rsidRPr="00000000" w14:paraId="0000005E">
      <w:pPr>
        <w:spacing w:after="0" w:line="276" w:lineRule="auto"/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Symbole pierwiastka znajdziecie w układzie okresowym, pierwiastki tam są ułożone ze względu na budowę atomu i właściwości ich.</w:t>
      </w:r>
    </w:p>
    <w:p w:rsidR="00000000" w:rsidDel="00000000" w:rsidP="00000000" w:rsidRDefault="00000000" w:rsidRPr="00000000" w14:paraId="00000060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Ale co zrobić kiedy nie mamy dużo miejsca do zapisania? Używamy wówczas wzorów sumarycznego: sumujemy ile i jakich jest atomów. </w:t>
      </w:r>
    </w:p>
    <w:p w:rsidR="00000000" w:rsidDel="00000000" w:rsidP="00000000" w:rsidRDefault="00000000" w:rsidRPr="00000000" w14:paraId="00000062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Możemy też pisać nazwę chemiczną - to taki szyfr chemików, który pozwala na rozszyfrowanie jej do wzoru sumarycznego, a ten do wzoru strukturalnego a ten do modelu 3D.</w:t>
      </w:r>
    </w:p>
    <w:p w:rsidR="00000000" w:rsidDel="00000000" w:rsidP="00000000" w:rsidRDefault="00000000" w:rsidRPr="00000000" w14:paraId="00000064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Podsumowanie:</w:t>
      </w:r>
    </w:p>
    <w:p w:rsidR="00000000" w:rsidDel="00000000" w:rsidP="00000000" w:rsidRDefault="00000000" w:rsidRPr="00000000" w14:paraId="00000067">
      <w:pPr>
        <w:spacing w:after="0" w:line="276" w:lineRule="auto"/>
        <w:ind w:left="720" w:firstLine="72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Dlaczego adnotacje chemiczne są ważne? (pytanie do uczniów)</w:t>
      </w:r>
    </w:p>
    <w:p w:rsidR="00000000" w:rsidDel="00000000" w:rsidP="00000000" w:rsidRDefault="00000000" w:rsidRPr="00000000" w14:paraId="00000068">
      <w:pPr>
        <w:numPr>
          <w:ilvl w:val="2"/>
          <w:numId w:val="6"/>
        </w:numPr>
        <w:spacing w:after="0" w:line="276" w:lineRule="auto"/>
        <w:ind w:left="216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Pozwalają się komunikować</w:t>
      </w:r>
    </w:p>
    <w:p w:rsidR="00000000" w:rsidDel="00000000" w:rsidP="00000000" w:rsidRDefault="00000000" w:rsidRPr="00000000" w14:paraId="00000069">
      <w:pPr>
        <w:numPr>
          <w:ilvl w:val="2"/>
          <w:numId w:val="6"/>
        </w:numPr>
        <w:spacing w:after="0" w:line="276" w:lineRule="auto"/>
        <w:ind w:left="216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Upraszają przekazanie informacji (nie trzeba długich opisów)</w:t>
      </w:r>
    </w:p>
    <w:p w:rsidR="00000000" w:rsidDel="00000000" w:rsidP="00000000" w:rsidRDefault="00000000" w:rsidRPr="00000000" w14:paraId="0000006A">
      <w:pPr>
        <w:numPr>
          <w:ilvl w:val="2"/>
          <w:numId w:val="6"/>
        </w:numPr>
        <w:spacing w:after="0" w:line="276" w:lineRule="auto"/>
        <w:ind w:left="216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Pozwalają szybko robić obliczenia</w:t>
      </w:r>
    </w:p>
    <w:p w:rsidR="00000000" w:rsidDel="00000000" w:rsidP="00000000" w:rsidRDefault="00000000" w:rsidRPr="00000000" w14:paraId="0000006B">
      <w:pPr>
        <w:numPr>
          <w:ilvl w:val="2"/>
          <w:numId w:val="6"/>
        </w:numPr>
        <w:spacing w:after="0" w:line="276" w:lineRule="auto"/>
        <w:ind w:left="216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Usystematyzować, układać itp. </w:t>
      </w:r>
    </w:p>
    <w:p w:rsidR="00000000" w:rsidDel="00000000" w:rsidP="00000000" w:rsidRDefault="00000000" w:rsidRPr="00000000" w14:paraId="0000006C">
      <w:pPr>
        <w:spacing w:after="0" w:line="276" w:lineRule="auto"/>
        <w:ind w:left="216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spacing w:after="0" w:line="276" w:lineRule="auto"/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Wprowadzenie aplikacji AR:</w:t>
      </w:r>
    </w:p>
    <w:p w:rsidR="00000000" w:rsidDel="00000000" w:rsidP="00000000" w:rsidRDefault="00000000" w:rsidRPr="00000000" w14:paraId="0000006E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Nauczyciel przedstawia, jak aplikacja AR może pomóc w nauce wizualizacji związków chemicznych, np. pokazywanie przestrzennych modeli cząsteczek.</w:t>
      </w:r>
    </w:p>
    <w:p w:rsidR="00000000" w:rsidDel="00000000" w:rsidP="00000000" w:rsidRDefault="00000000" w:rsidRPr="00000000" w14:paraId="0000006F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2. Część główna – Ćwiczenia praktyczne (25 minut)</w:t>
      </w:r>
    </w:p>
    <w:p w:rsidR="00000000" w:rsidDel="00000000" w:rsidP="00000000" w:rsidRDefault="00000000" w:rsidRPr="00000000" w14:paraId="00000071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A. Odkrywanie języka chemii (10 minut)</w:t>
      </w:r>
    </w:p>
    <w:p w:rsidR="00000000" w:rsidDel="00000000" w:rsidP="00000000" w:rsidRDefault="00000000" w:rsidRPr="00000000" w14:paraId="00000072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Uczniowie dostają zadanie i mają na kartce narysować model 3D, mają do pomocy aplikację.  Uczniowie pracują w parach.</w:t>
      </w:r>
    </w:p>
    <w:p w:rsidR="00000000" w:rsidDel="00000000" w:rsidP="00000000" w:rsidRDefault="00000000" w:rsidRPr="00000000" w14:paraId="00000074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Tworzenie wzorów prostych związków (np. woda = H₂O, sól kuchenna = NaCl, kwas chlorowodorowy =HCl, kwas fosforowy H3PO4).</w:t>
      </w:r>
    </w:p>
    <w:p w:rsidR="00000000" w:rsidDel="00000000" w:rsidP="00000000" w:rsidRDefault="00000000" w:rsidRPr="00000000" w14:paraId="00000076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Dyskusja:</w:t>
      </w:r>
    </w:p>
    <w:p w:rsidR="00000000" w:rsidDel="00000000" w:rsidP="00000000" w:rsidRDefault="00000000" w:rsidRPr="00000000" w14:paraId="00000078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Nauczyciel omawia zadania na forum, podkreślając zasady tworzenia wzorów.</w:t>
      </w:r>
    </w:p>
    <w:p w:rsidR="00000000" w:rsidDel="00000000" w:rsidP="00000000" w:rsidRDefault="00000000" w:rsidRPr="00000000" w14:paraId="0000007A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B. Wizualizacja związków chemicznych (15 minut)</w:t>
      </w:r>
    </w:p>
    <w:p w:rsidR="00000000" w:rsidDel="00000000" w:rsidP="00000000" w:rsidRDefault="00000000" w:rsidRPr="00000000" w14:paraId="0000007C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Zadanie grupowe:  Uczniowie w grupach (3-4 osób):</w:t>
      </w:r>
    </w:p>
    <w:p w:rsidR="00000000" w:rsidDel="00000000" w:rsidP="00000000" w:rsidRDefault="00000000" w:rsidRPr="00000000" w14:paraId="0000007E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Wybierają jeden związek chemiczny.</w:t>
      </w:r>
    </w:p>
    <w:p w:rsidR="00000000" w:rsidDel="00000000" w:rsidP="00000000" w:rsidRDefault="00000000" w:rsidRPr="00000000" w14:paraId="00000080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Przygotowują krótką prezentację na temat jego budowy (z ilu atomów się składa, ile i jakich wiązań, jakie są wartościowość poszczególnych atomów - z iloma się ono wiąże).</w:t>
      </w:r>
    </w:p>
    <w:p w:rsidR="00000000" w:rsidDel="00000000" w:rsidP="00000000" w:rsidRDefault="00000000" w:rsidRPr="00000000" w14:paraId="00000081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korzystając z wizualizacji AR.</w:t>
      </w:r>
    </w:p>
    <w:p w:rsidR="00000000" w:rsidDel="00000000" w:rsidP="00000000" w:rsidRDefault="00000000" w:rsidRPr="00000000" w14:paraId="00000082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3. Podsumowanie (10 minut)</w:t>
      </w:r>
    </w:p>
    <w:p w:rsidR="00000000" w:rsidDel="00000000" w:rsidP="00000000" w:rsidRDefault="00000000" w:rsidRPr="00000000" w14:paraId="00000085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Każda grupa przedstawia wyniki swojej pracy (po 1-2 minuty).</w:t>
      </w:r>
    </w:p>
    <w:p w:rsidR="00000000" w:rsidDel="00000000" w:rsidP="00000000" w:rsidRDefault="00000000" w:rsidRPr="00000000" w14:paraId="00000087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Dyskusja końcowa:</w:t>
      </w:r>
    </w:p>
    <w:p w:rsidR="00000000" w:rsidDel="00000000" w:rsidP="00000000" w:rsidRDefault="00000000" w:rsidRPr="00000000" w14:paraId="00000089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Nauczyciel pyta uczniów:</w:t>
      </w:r>
    </w:p>
    <w:p w:rsidR="00000000" w:rsidDel="00000000" w:rsidP="00000000" w:rsidRDefault="00000000" w:rsidRPr="00000000" w14:paraId="0000008A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Co podobało się w pracy z aplikacją AR?</w:t>
      </w:r>
    </w:p>
    <w:p w:rsidR="00000000" w:rsidDel="00000000" w:rsidP="00000000" w:rsidRDefault="00000000" w:rsidRPr="00000000" w14:paraId="0000008B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Czy łatwiej było zrozumieć budowę cząsteczki dzięki modelom 3D?</w:t>
      </w:r>
    </w:p>
    <w:p w:rsidR="00000000" w:rsidDel="00000000" w:rsidP="00000000" w:rsidRDefault="00000000" w:rsidRPr="00000000" w14:paraId="0000008C">
      <w:pPr>
        <w:spacing w:after="0" w:line="276" w:lineRule="auto"/>
        <w:ind w:firstLine="72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Czy łatwo się wam rysuje modele 3D? </w:t>
      </w:r>
    </w:p>
    <w:p w:rsidR="00000000" w:rsidDel="00000000" w:rsidP="00000000" w:rsidRDefault="00000000" w:rsidRPr="00000000" w14:paraId="0000008D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76" w:lineRule="auto"/>
        <w:rPr>
          <w:rFonts w:ascii="Lexend" w:cs="Lexend" w:eastAsia="Lexend" w:hAnsi="Lexend"/>
          <w:b w:val="1"/>
        </w:rPr>
      </w:pPr>
      <w:r w:rsidDel="00000000" w:rsidR="00000000" w:rsidRPr="00000000">
        <w:rPr>
          <w:rFonts w:ascii="Lexend" w:cs="Lexend" w:eastAsia="Lexend" w:hAnsi="Lexend"/>
          <w:b w:val="1"/>
          <w:rtl w:val="0"/>
        </w:rPr>
        <w:t xml:space="preserve">Podkreślenie kluczowych wniosków:</w:t>
      </w:r>
    </w:p>
    <w:p w:rsidR="00000000" w:rsidDel="00000000" w:rsidP="00000000" w:rsidRDefault="00000000" w:rsidRPr="00000000" w14:paraId="00000090">
      <w:pPr>
        <w:spacing w:after="0" w:line="276" w:lineRule="auto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76" w:lineRule="auto"/>
        <w:ind w:left="720" w:firstLine="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„Język chemii” to narzędzie, które pozwala nam porozumiewać się o chemii w sposób uniwersalny. Wizualizacja cząsteczek pomaga zrozumieć ich strukturę i właściwości.</w:t>
      </w:r>
    </w:p>
    <w:p w:rsidR="00000000" w:rsidDel="00000000" w:rsidP="00000000" w:rsidRDefault="00000000" w:rsidRPr="00000000" w14:paraId="00000092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1"/>
        <w:keepLines w:val="1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720" w:right="0" w:hanging="360"/>
        <w:jc w:val="left"/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et92p0" w:id="3"/>
      <w:bookmarkEnd w:id="3"/>
      <w:r w:rsidDel="00000000" w:rsidR="00000000" w:rsidRPr="00000000">
        <w:rPr>
          <w:rFonts w:ascii="Work Sans" w:cs="Work Sans" w:eastAsia="Work Sans" w:hAnsi="Work Sans"/>
          <w:b w:val="1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Sugestie dla nauczyciela</w:t>
      </w:r>
    </w:p>
    <w:p w:rsidR="00000000" w:rsidDel="00000000" w:rsidP="00000000" w:rsidRDefault="00000000" w:rsidRPr="00000000" w14:paraId="0000009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Sprawdź, czy wszyscy uczniowie lub w grupach  mają dostęp do odpowiednich urządzeń i aplikacji.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Zachęcaj do zadawania pytań – temat może być nowy i budzić ciekawość</w:t>
      </w:r>
      <w:r w:rsidDel="00000000" w:rsidR="00000000" w:rsidRPr="00000000">
        <w:rPr>
          <w:rFonts w:ascii="Work Sans" w:cs="Work Sans" w:eastAsia="Work Sans" w:hAnsi="Work Sans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left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76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8" w:w="11906" w:orient="portrait"/>
      <w:pgMar w:bottom="851" w:top="2248" w:left="1417" w:right="1417" w:header="568" w:footer="6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exen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152400</wp:posOffset>
          </wp:positionH>
          <wp:positionV relativeFrom="paragraph">
            <wp:posOffset>-122551</wp:posOffset>
          </wp:positionV>
          <wp:extent cx="5760720" cy="568960"/>
          <wp:effectExtent b="0" l="0" r="0" t="0"/>
          <wp:wrapSquare wrapText="bothSides" distB="0" distT="0" distL="114300" distR="114300"/>
          <wp:docPr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 id="1999834954" name="image3.png"/>
          <a:graphic>
            <a:graphicData uri="http://schemas.openxmlformats.org/drawingml/2006/picture">
              <pic:pic>
                <pic:nvPicPr>
                  <pic:cNvPr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1355" cy="572770"/>
          <wp:effectExtent b="0" l="0" r="0" t="0"/>
          <wp:docPr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 id="1999834955" name="image1.png"/>
          <a:graphic>
            <a:graphicData uri="http://schemas.openxmlformats.org/drawingml/2006/picture">
              <pic:pic>
                <pic:nvPicPr>
                  <pic:cNvPr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1355" cy="5727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-499740</wp:posOffset>
          </wp:positionH>
          <wp:positionV relativeFrom="paragraph">
            <wp:posOffset>-141601</wp:posOffset>
          </wp:positionV>
          <wp:extent cx="3286125" cy="603250"/>
          <wp:effectExtent b="0" l="0" r="0" t="0"/>
          <wp:wrapSquare wrapText="bothSides" distB="0" distT="0" distL="114300" distR="114300"/>
          <wp:docPr id="1999834958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86125" cy="6032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C">
    <w:pPr>
      <w:tabs>
        <w:tab w:val="center" w:leader="none" w:pos="4536"/>
        <w:tab w:val="right" w:leader="none" w:pos="9072"/>
      </w:tabs>
      <w:spacing w:after="0" w:line="240" w:lineRule="auto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5010150</wp:posOffset>
          </wp:positionH>
          <wp:positionV relativeFrom="paragraph">
            <wp:posOffset>-204786</wp:posOffset>
          </wp:positionV>
          <wp:extent cx="457200" cy="434715"/>
          <wp:effectExtent b="0" l="0" r="0" t="0"/>
          <wp:wrapNone/>
          <wp:docPr id="1999834957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7200" cy="434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5760409</wp:posOffset>
          </wp:positionH>
          <wp:positionV relativeFrom="paragraph">
            <wp:posOffset>-209548</wp:posOffset>
          </wp:positionV>
          <wp:extent cx="496439" cy="444183"/>
          <wp:effectExtent b="0" l="0" r="0" t="0"/>
          <wp:wrapNone/>
          <wp:docPr id="1999834953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6439" cy="44418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4381500</wp:posOffset>
          </wp:positionH>
          <wp:positionV relativeFrom="paragraph">
            <wp:posOffset>-209548</wp:posOffset>
          </wp:positionV>
          <wp:extent cx="456883" cy="482394"/>
          <wp:effectExtent b="0" l="0" r="0" t="0"/>
          <wp:wrapNone/>
          <wp:docPr id="199983495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6883" cy="48239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-704846</wp:posOffset>
          </wp:positionH>
          <wp:positionV relativeFrom="paragraph">
            <wp:posOffset>-267330</wp:posOffset>
          </wp:positionV>
          <wp:extent cx="3288030" cy="599440"/>
          <wp:effectExtent b="0" l="0" r="0" t="0"/>
          <wp:wrapSquare wrapText="bothSides" distB="0" distT="0" distL="114300" distR="114300"/>
          <wp:docPr descr="LOGOTYP POPJUTRZE. Czarny napis POPOJUTRZE na białym tle z poziomą kreską na końcu wyrazu." id="1999834956" name="image7.jpg"/>
          <a:graphic>
            <a:graphicData uri="http://schemas.openxmlformats.org/drawingml/2006/picture">
              <pic:pic>
                <pic:nvPicPr>
                  <pic:cNvPr descr="LOGOTYP POPJUTRZE. Czarny napis POPOJUTRZE na białym tle z poziomą kreską na końcu wyrazu." id="0" name="image7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88030" cy="59944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2"/>
      <w:numFmt w:val="decimal"/>
      <w:lvlText w:val="%1.%2"/>
      <w:lvlJc w:val="left"/>
      <w:pPr>
        <w:ind w:left="750" w:hanging="390"/>
      </w:pPr>
      <w:rPr/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44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Work Sans" w:cs="Work Sans" w:eastAsia="Work Sans" w:hAnsi="Work Sans"/>
      <w:b w:val="1"/>
      <w:color w:val="00206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Work Sans" w:cs="Work Sans" w:eastAsia="Work Sans" w:hAnsi="Work Sans"/>
      <w:b w:val="1"/>
      <w:color w:val="00206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Work Sans" w:cs="Work Sans" w:eastAsia="Work Sans" w:hAnsi="Work Sans"/>
      <w:b w:val="1"/>
      <w:color w:val="00206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720" w:hanging="360"/>
    </w:pPr>
    <w:rPr>
      <w:rFonts w:ascii="Work Sans" w:cs="Work Sans" w:eastAsia="Work Sans" w:hAnsi="Work Sans"/>
      <w:b w:val="1"/>
      <w:color w:val="00206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link w:val="Nagwek1Znak"/>
    <w:uiPriority w:val="9"/>
    <w:qFormat w:val="1"/>
    <w:rsid w:val="005A3D23"/>
    <w:pPr>
      <w:keepNext w:val="1"/>
      <w:keepLines w:val="1"/>
      <w:numPr>
        <w:numId w:val="28"/>
      </w:numPr>
      <w:spacing w:after="0" w:before="240"/>
      <w:outlineLvl w:val="0"/>
    </w:pPr>
    <w:rPr>
      <w:rFonts w:ascii="Work Sans" w:hAnsi="Work Sans" w:cstheme="majorBidi" w:eastAsiaTheme="majorEastAsia"/>
      <w:b w:val="1"/>
      <w:color w:val="002060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7A3585"/>
    <w:pPr>
      <w:keepNext w:val="1"/>
      <w:keepLines w:val="1"/>
      <w:spacing w:after="0" w:before="40"/>
      <w:outlineLvl w:val="1"/>
    </w:pPr>
    <w:rPr>
      <w:rFonts w:ascii="Work Sans" w:hAnsi="Work Sans" w:cstheme="majorBidi" w:eastAsiaTheme="majorEastAsia"/>
      <w:b w:val="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 w:val="1"/>
    <w:qFormat w:val="1"/>
    <w:rsid w:val="00C0345A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 w:val="1"/>
    <w:qFormat w:val="1"/>
    <w:rsid w:val="007A3585"/>
    <w:pPr>
      <w:keepNext w:val="1"/>
      <w:keepLines w:val="1"/>
      <w:spacing w:after="0" w:before="40"/>
      <w:outlineLvl w:val="3"/>
    </w:pPr>
    <w:rPr>
      <w:rFonts w:ascii="Work Sans" w:hAnsi="Work Sans" w:cstheme="majorBidi" w:eastAsiaTheme="majorEastAsia"/>
      <w:iCs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F73B8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3B85"/>
  </w:style>
  <w:style w:type="paragraph" w:styleId="Stopka">
    <w:name w:val="footer"/>
    <w:basedOn w:val="Normalny"/>
    <w:link w:val="StopkaZnak"/>
    <w:uiPriority w:val="99"/>
    <w:unhideWhenUsed w:val="1"/>
    <w:rsid w:val="00F73B8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3B85"/>
  </w:style>
  <w:style w:type="paragraph" w:styleId="Tytu">
    <w:name w:val="Title"/>
    <w:basedOn w:val="Normalny"/>
    <w:next w:val="Normalny"/>
    <w:link w:val="TytuZnak"/>
    <w:uiPriority w:val="10"/>
    <w:qFormat w:val="1"/>
    <w:rsid w:val="00F73B85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F73B85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agwek1Znak" w:customStyle="1">
    <w:name w:val="Nagłówek 1 Znak"/>
    <w:basedOn w:val="Domylnaczcionkaakapitu"/>
    <w:link w:val="Nagwek1"/>
    <w:uiPriority w:val="9"/>
    <w:rsid w:val="005A3D23"/>
    <w:rPr>
      <w:rFonts w:ascii="Work Sans" w:hAnsi="Work Sans" w:cstheme="majorBidi" w:eastAsiaTheme="majorEastAsia"/>
      <w:b w:val="1"/>
      <w:color w:val="002060"/>
      <w:sz w:val="28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7A3585"/>
    <w:rPr>
      <w:rFonts w:ascii="Work Sans" w:hAnsi="Work Sans" w:cstheme="majorBidi" w:eastAsiaTheme="majorEastAsia"/>
      <w:b w:val="1"/>
      <w:sz w:val="24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C0345A"/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 w:val="1"/>
    <w:rsid w:val="0025143A"/>
    <w:pPr>
      <w:ind w:left="720"/>
      <w:contextualSpacing w:val="1"/>
    </w:pPr>
  </w:style>
  <w:style w:type="paragraph" w:styleId="Nagwekspisutreci">
    <w:name w:val="TOC Heading"/>
    <w:basedOn w:val="Nagwek1"/>
    <w:next w:val="Normalny"/>
    <w:uiPriority w:val="39"/>
    <w:unhideWhenUsed w:val="1"/>
    <w:qFormat w:val="1"/>
    <w:rsid w:val="005D5F8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 w:val="1"/>
    <w:uiPriority w:val="39"/>
    <w:unhideWhenUsed w:val="1"/>
    <w:rsid w:val="005D5F88"/>
    <w:pPr>
      <w:spacing w:after="100"/>
    </w:pPr>
  </w:style>
  <w:style w:type="paragraph" w:styleId="Spistreci2">
    <w:name w:val="toc 2"/>
    <w:basedOn w:val="Normalny"/>
    <w:next w:val="Normalny"/>
    <w:autoRedefine w:val="1"/>
    <w:uiPriority w:val="39"/>
    <w:unhideWhenUsed w:val="1"/>
    <w:rsid w:val="005D5F88"/>
    <w:pPr>
      <w:spacing w:after="100"/>
      <w:ind w:left="220"/>
    </w:pPr>
  </w:style>
  <w:style w:type="paragraph" w:styleId="Spistreci3">
    <w:name w:val="toc 3"/>
    <w:basedOn w:val="Normalny"/>
    <w:next w:val="Normalny"/>
    <w:autoRedefine w:val="1"/>
    <w:uiPriority w:val="39"/>
    <w:unhideWhenUsed w:val="1"/>
    <w:rsid w:val="005D5F8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 w:val="1"/>
    <w:rsid w:val="005D5F88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4579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kapitzlistZnak" w:customStyle="1">
    <w:name w:val="Akapit z listą Znak"/>
    <w:link w:val="Akapitzlist"/>
    <w:uiPriority w:val="34"/>
    <w:rsid w:val="002B05EE"/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CF30F3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CF30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CF30F3"/>
    <w:rPr>
      <w:vertAlign w:val="superscript"/>
    </w:rPr>
  </w:style>
  <w:style w:type="character" w:styleId="Nagwek4Znak" w:customStyle="1">
    <w:name w:val="Nagłówek 4 Znak"/>
    <w:basedOn w:val="Domylnaczcionkaakapitu"/>
    <w:link w:val="Nagwek4"/>
    <w:uiPriority w:val="9"/>
    <w:rsid w:val="007A3585"/>
    <w:rPr>
      <w:rFonts w:ascii="Work Sans" w:hAnsi="Work Sans" w:cstheme="majorBidi" w:eastAsiaTheme="majorEastAsia"/>
      <w:iCs w:val="1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9627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96277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9627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962778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962778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Relationship Id="rId5" Type="http://schemas.openxmlformats.org/officeDocument/2006/relationships/font" Target="fonts/Lexend-regular.ttf"/><Relationship Id="rId6" Type="http://schemas.openxmlformats.org/officeDocument/2006/relationships/font" Target="fonts/Lexen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4.png"/><Relationship Id="rId3" Type="http://schemas.openxmlformats.org/officeDocument/2006/relationships/image" Target="media/image2.png"/><Relationship Id="rId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o5gfx8sOPezRMclS3KpJlIVi9w==">CgMxLjAyCGguZ2pkZ3hzMgloLjFmb2I5dGUyDmgudXczMXV6Z3prd2x1MgloLjJldDkycDA4AHIhMWRoRldoaVM5YmxxSEluWmNxZDRIRXVoSG94Q3hIaEh3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2022-01-06T20:01:00Z</dcterms:created>
  <dc:creator>Piotr S.</dc:creator>
</cp:coreProperties>
</file>