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14ED1" w14:textId="77777777" w:rsidR="007A3585" w:rsidRDefault="007A3585" w:rsidP="00F73B85">
      <w:pPr>
        <w:pStyle w:val="Tytu"/>
        <w:rPr>
          <w:sz w:val="48"/>
        </w:rPr>
      </w:pPr>
    </w:p>
    <w:p w14:paraId="512D9548" w14:textId="77777777" w:rsidR="00F73B85" w:rsidRPr="005A3D23" w:rsidRDefault="00F73B85" w:rsidP="00F73B85">
      <w:pPr>
        <w:rPr>
          <w:rFonts w:ascii="Work Sans" w:hAnsi="Work Sans"/>
          <w:sz w:val="20"/>
          <w:szCs w:val="20"/>
        </w:rPr>
      </w:pPr>
    </w:p>
    <w:p w14:paraId="5CC4BEB3" w14:textId="77777777" w:rsidR="00F73B85" w:rsidRPr="005A3D23" w:rsidRDefault="00F73B85" w:rsidP="00F73B85">
      <w:pPr>
        <w:jc w:val="center"/>
        <w:rPr>
          <w:rFonts w:ascii="Work Sans" w:hAnsi="Work Sans" w:cstheme="majorHAnsi"/>
          <w:b/>
          <w:sz w:val="20"/>
          <w:szCs w:val="20"/>
        </w:rPr>
      </w:pPr>
    </w:p>
    <w:p w14:paraId="02D4C72D" w14:textId="77777777" w:rsidR="00F73B85" w:rsidRPr="005A3D23" w:rsidRDefault="00F73B85" w:rsidP="00F73B85">
      <w:pPr>
        <w:jc w:val="center"/>
        <w:rPr>
          <w:rFonts w:ascii="Work Sans" w:hAnsi="Work Sans" w:cstheme="majorHAnsi"/>
          <w:b/>
          <w:sz w:val="20"/>
          <w:szCs w:val="20"/>
        </w:rPr>
      </w:pPr>
    </w:p>
    <w:p w14:paraId="37E9BD46" w14:textId="5EDA9F7E" w:rsidR="00F73B85" w:rsidRDefault="00E352EE" w:rsidP="00F73B85">
      <w:pPr>
        <w:jc w:val="center"/>
        <w:rPr>
          <w:rFonts w:ascii="Work Sans" w:hAnsi="Work Sans" w:cstheme="majorHAnsi"/>
          <w:b/>
          <w:sz w:val="32"/>
          <w:szCs w:val="32"/>
        </w:rPr>
      </w:pPr>
      <w:bookmarkStart w:id="0" w:name="_Hlk187154807"/>
      <w:r>
        <w:rPr>
          <w:rFonts w:ascii="Work Sans" w:hAnsi="Work Sans" w:cstheme="majorHAnsi"/>
          <w:b/>
          <w:sz w:val="32"/>
          <w:szCs w:val="32"/>
        </w:rPr>
        <w:t>NIE PANIKUJ!</w:t>
      </w:r>
    </w:p>
    <w:p w14:paraId="2D9C7D07" w14:textId="19C8E82D" w:rsidR="00E352EE" w:rsidRDefault="00E352EE" w:rsidP="00F73B85">
      <w:pPr>
        <w:jc w:val="center"/>
        <w:rPr>
          <w:rFonts w:ascii="Work Sans" w:hAnsi="Work Sans" w:cstheme="majorHAnsi"/>
          <w:b/>
          <w:sz w:val="32"/>
          <w:szCs w:val="32"/>
        </w:rPr>
      </w:pPr>
      <w:r>
        <w:rPr>
          <w:rFonts w:ascii="Work Sans" w:hAnsi="Work Sans" w:cstheme="majorHAnsi"/>
          <w:b/>
          <w:sz w:val="32"/>
          <w:szCs w:val="32"/>
        </w:rPr>
        <w:t>Edukacyjna gra VR</w:t>
      </w:r>
    </w:p>
    <w:bookmarkEnd w:id="0"/>
    <w:p w14:paraId="7DFD25D7" w14:textId="77777777" w:rsidR="00E352EE" w:rsidRDefault="00E352EE" w:rsidP="00F73B85">
      <w:pPr>
        <w:jc w:val="center"/>
        <w:rPr>
          <w:rFonts w:ascii="Work Sans" w:hAnsi="Work Sans" w:cstheme="majorHAnsi"/>
          <w:b/>
          <w:sz w:val="32"/>
          <w:szCs w:val="32"/>
        </w:rPr>
      </w:pPr>
    </w:p>
    <w:p w14:paraId="62D527E3" w14:textId="2F664F22" w:rsidR="00F73B85" w:rsidRDefault="00E352EE" w:rsidP="00F73B85">
      <w:pPr>
        <w:jc w:val="center"/>
        <w:rPr>
          <w:rFonts w:ascii="Work Sans" w:hAnsi="Work Sans" w:cstheme="majorHAnsi"/>
          <w:b/>
          <w:sz w:val="44"/>
          <w:szCs w:val="44"/>
        </w:rPr>
      </w:pPr>
      <w:r w:rsidRPr="00133CF2">
        <w:rPr>
          <w:rFonts w:ascii="Work Sans" w:hAnsi="Work Sans" w:cstheme="majorHAnsi"/>
          <w:b/>
          <w:sz w:val="44"/>
          <w:szCs w:val="44"/>
        </w:rPr>
        <w:t xml:space="preserve">Scenariusz A - na lekcje </w:t>
      </w:r>
      <w:r w:rsidR="00104CA9" w:rsidRPr="00104CA9">
        <w:rPr>
          <w:rFonts w:ascii="Work Sans" w:hAnsi="Work Sans" w:cstheme="majorHAnsi"/>
          <w:b/>
          <w:sz w:val="44"/>
          <w:szCs w:val="44"/>
        </w:rPr>
        <w:t>„Godziny wychowawczej” oraz zaję</w:t>
      </w:r>
      <w:r w:rsidR="00104CA9">
        <w:rPr>
          <w:rFonts w:ascii="Work Sans" w:hAnsi="Work Sans" w:cstheme="majorHAnsi"/>
          <w:b/>
          <w:sz w:val="44"/>
          <w:szCs w:val="44"/>
        </w:rPr>
        <w:t>cia</w:t>
      </w:r>
      <w:r w:rsidR="00104CA9" w:rsidRPr="00104CA9">
        <w:rPr>
          <w:rFonts w:ascii="Work Sans" w:hAnsi="Work Sans" w:cstheme="majorHAnsi"/>
          <w:b/>
          <w:sz w:val="44"/>
          <w:szCs w:val="44"/>
        </w:rPr>
        <w:t xml:space="preserve"> pozalekcyjn</w:t>
      </w:r>
      <w:r w:rsidR="00104CA9">
        <w:rPr>
          <w:rFonts w:ascii="Work Sans" w:hAnsi="Work Sans" w:cstheme="majorHAnsi"/>
          <w:b/>
          <w:sz w:val="44"/>
          <w:szCs w:val="44"/>
        </w:rPr>
        <w:t xml:space="preserve">e </w:t>
      </w:r>
      <w:r w:rsidR="00104CA9" w:rsidRPr="00104CA9">
        <w:rPr>
          <w:rFonts w:ascii="Work Sans" w:hAnsi="Work Sans" w:cstheme="majorHAnsi"/>
          <w:b/>
          <w:sz w:val="44"/>
          <w:szCs w:val="44"/>
        </w:rPr>
        <w:t>w klasach VII-VIII szkół podstawowych i I-II szkół średnich</w:t>
      </w:r>
    </w:p>
    <w:p w14:paraId="4BB68DD8" w14:textId="77777777" w:rsidR="00B2393F" w:rsidRPr="005A3D23" w:rsidRDefault="00B2393F" w:rsidP="00F73B85">
      <w:pPr>
        <w:jc w:val="center"/>
        <w:rPr>
          <w:rFonts w:ascii="Work Sans" w:hAnsi="Work Sans" w:cstheme="majorHAnsi"/>
          <w:b/>
          <w:sz w:val="32"/>
          <w:szCs w:val="32"/>
        </w:rPr>
      </w:pPr>
    </w:p>
    <w:p w14:paraId="7BDC958F" w14:textId="4A1A70B5" w:rsidR="009E7F22" w:rsidRPr="005A3D23" w:rsidRDefault="00F73B85" w:rsidP="009E7F22">
      <w:pPr>
        <w:spacing w:line="276" w:lineRule="auto"/>
        <w:contextualSpacing/>
        <w:jc w:val="center"/>
        <w:rPr>
          <w:rFonts w:ascii="Work Sans" w:hAnsi="Work Sans" w:cstheme="majorHAnsi"/>
          <w:b/>
          <w:sz w:val="32"/>
          <w:szCs w:val="32"/>
        </w:rPr>
      </w:pPr>
      <w:r w:rsidRPr="005A3D23">
        <w:rPr>
          <w:rFonts w:ascii="Work Sans" w:hAnsi="Work Sans" w:cstheme="majorHAnsi"/>
          <w:b/>
          <w:sz w:val="32"/>
          <w:szCs w:val="32"/>
        </w:rPr>
        <w:t xml:space="preserve">Materiał powstał w ramach umowy o powierzenie grantu </w:t>
      </w:r>
      <w:r w:rsidR="00E352EE">
        <w:rPr>
          <w:rFonts w:ascii="Work Sans" w:hAnsi="Work Sans" w:cstheme="majorHAnsi"/>
          <w:b/>
          <w:sz w:val="32"/>
          <w:szCs w:val="32"/>
        </w:rPr>
        <w:t>20</w:t>
      </w:r>
      <w:r w:rsidRPr="005A3D23">
        <w:rPr>
          <w:rFonts w:ascii="Work Sans" w:hAnsi="Work Sans" w:cstheme="majorHAnsi"/>
          <w:b/>
          <w:sz w:val="32"/>
          <w:szCs w:val="32"/>
        </w:rPr>
        <w:t>/POPO/202</w:t>
      </w:r>
      <w:r w:rsidR="009E7F22" w:rsidRPr="005A3D23">
        <w:rPr>
          <w:rFonts w:ascii="Work Sans" w:hAnsi="Work Sans" w:cstheme="majorHAnsi"/>
          <w:b/>
          <w:sz w:val="32"/>
          <w:szCs w:val="32"/>
        </w:rPr>
        <w:t>4</w:t>
      </w:r>
      <w:r w:rsidRPr="005A3D23">
        <w:rPr>
          <w:rFonts w:ascii="Work Sans" w:hAnsi="Work Sans" w:cstheme="majorHAnsi"/>
          <w:b/>
          <w:sz w:val="32"/>
          <w:szCs w:val="32"/>
        </w:rPr>
        <w:t xml:space="preserve">, </w:t>
      </w:r>
    </w:p>
    <w:p w14:paraId="3F9AB506" w14:textId="77777777" w:rsidR="009E7F22" w:rsidRPr="005A3D23" w:rsidRDefault="009E7F22" w:rsidP="009E7F22">
      <w:pPr>
        <w:spacing w:line="276" w:lineRule="auto"/>
        <w:contextualSpacing/>
        <w:jc w:val="center"/>
        <w:rPr>
          <w:rFonts w:ascii="Work Sans" w:hAnsi="Work Sans" w:cstheme="majorHAnsi"/>
          <w:b/>
          <w:sz w:val="32"/>
          <w:szCs w:val="32"/>
        </w:rPr>
      </w:pPr>
      <w:r w:rsidRPr="005A3D23">
        <w:rPr>
          <w:rFonts w:ascii="Work Sans" w:hAnsi="Work Sans" w:cstheme="majorHAnsi"/>
          <w:b/>
          <w:sz w:val="32"/>
          <w:szCs w:val="32"/>
        </w:rPr>
        <w:t xml:space="preserve">realizowanej w projekcie </w:t>
      </w:r>
    </w:p>
    <w:p w14:paraId="74D28A2B" w14:textId="5E961B1B" w:rsidR="009E7F22" w:rsidRPr="005A3D23" w:rsidRDefault="009E7F22" w:rsidP="009E7F22">
      <w:pPr>
        <w:spacing w:line="276" w:lineRule="auto"/>
        <w:contextualSpacing/>
        <w:jc w:val="center"/>
        <w:rPr>
          <w:rFonts w:ascii="Work Sans" w:hAnsi="Work Sans" w:cstheme="majorHAnsi"/>
          <w:b/>
          <w:sz w:val="32"/>
          <w:szCs w:val="32"/>
        </w:rPr>
      </w:pPr>
      <w:r w:rsidRPr="005A3D23">
        <w:rPr>
          <w:rFonts w:ascii="Work Sans" w:hAnsi="Work Sans" w:cstheme="majorHAnsi"/>
          <w:b/>
          <w:sz w:val="32"/>
          <w:szCs w:val="32"/>
        </w:rPr>
        <w:t xml:space="preserve">„POPOJUTRZE 3.0 – KSZTAŁCENIE” </w:t>
      </w:r>
    </w:p>
    <w:p w14:paraId="26681D3D" w14:textId="50888345" w:rsidR="00CF6FD8" w:rsidRPr="005A3D23" w:rsidRDefault="009E7F22" w:rsidP="009E7F22">
      <w:pPr>
        <w:spacing w:line="276" w:lineRule="auto"/>
        <w:contextualSpacing/>
        <w:jc w:val="center"/>
        <w:rPr>
          <w:rFonts w:ascii="Work Sans" w:hAnsi="Work Sans" w:cstheme="majorHAnsi"/>
          <w:b/>
          <w:sz w:val="32"/>
          <w:szCs w:val="32"/>
        </w:rPr>
      </w:pPr>
      <w:r w:rsidRPr="005A3D23">
        <w:rPr>
          <w:rFonts w:ascii="Work Sans" w:hAnsi="Work Sans" w:cstheme="majorHAnsi"/>
          <w:b/>
          <w:sz w:val="32"/>
          <w:szCs w:val="32"/>
        </w:rPr>
        <w:t>(FERS.05.01-IZ.00-0007/23)</w:t>
      </w:r>
    </w:p>
    <w:p w14:paraId="0336649C" w14:textId="77777777" w:rsidR="00CF6FD8" w:rsidRPr="005A3D23" w:rsidRDefault="00CF6FD8" w:rsidP="00CF6FD8">
      <w:pPr>
        <w:rPr>
          <w:rFonts w:ascii="Work Sans" w:hAnsi="Work Sans"/>
          <w:sz w:val="32"/>
          <w:szCs w:val="32"/>
        </w:rPr>
      </w:pPr>
      <w:r w:rsidRPr="005A3D23">
        <w:rPr>
          <w:rFonts w:ascii="Work Sans" w:hAnsi="Work Sans"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0"/>
          <w:szCs w:val="20"/>
          <w:lang w:eastAsia="en-US"/>
        </w:rPr>
        <w:id w:val="-159839341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C4DE90E" w14:textId="77777777" w:rsidR="007A3585" w:rsidRPr="005A3D23" w:rsidRDefault="007A3585" w:rsidP="00962778">
          <w:pPr>
            <w:pStyle w:val="Nagwekspisutreci"/>
            <w:numPr>
              <w:ilvl w:val="0"/>
              <w:numId w:val="0"/>
            </w:numPr>
            <w:ind w:left="720"/>
            <w:rPr>
              <w:rFonts w:eastAsiaTheme="minorHAnsi" w:cstheme="minorBidi"/>
              <w:sz w:val="20"/>
              <w:szCs w:val="20"/>
              <w:lang w:eastAsia="en-US"/>
            </w:rPr>
          </w:pPr>
        </w:p>
        <w:p w14:paraId="6F55B230" w14:textId="31062AB6" w:rsidR="00962778" w:rsidRDefault="005D5F88" w:rsidP="005A3D23">
          <w:pPr>
            <w:pStyle w:val="Nagwek1"/>
            <w:numPr>
              <w:ilvl w:val="0"/>
              <w:numId w:val="0"/>
            </w:numPr>
            <w:ind w:left="720"/>
          </w:pPr>
          <w:bookmarkStart w:id="1" w:name="_Toc187514948"/>
          <w:r w:rsidRPr="005A3D23">
            <w:t>Spis treści</w:t>
          </w:r>
          <w:bookmarkEnd w:id="1"/>
        </w:p>
        <w:p w14:paraId="4B52270B" w14:textId="77777777" w:rsidR="005A3D23" w:rsidRPr="005A3D23" w:rsidRDefault="005A3D23" w:rsidP="005A3D23"/>
        <w:p w14:paraId="480E260B" w14:textId="71293C32" w:rsidR="001C3771" w:rsidRDefault="005D5F88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5A3D23">
            <w:rPr>
              <w:rFonts w:ascii="Work Sans" w:hAnsi="Work Sans"/>
              <w:sz w:val="20"/>
              <w:szCs w:val="20"/>
            </w:rPr>
            <w:fldChar w:fldCharType="begin"/>
          </w:r>
          <w:r w:rsidRPr="005A3D23">
            <w:rPr>
              <w:rFonts w:ascii="Work Sans" w:hAnsi="Work Sans"/>
              <w:sz w:val="20"/>
              <w:szCs w:val="20"/>
            </w:rPr>
            <w:instrText xml:space="preserve"> TOC \o "1-3" \h \z \u </w:instrText>
          </w:r>
          <w:r w:rsidRPr="005A3D23">
            <w:rPr>
              <w:rFonts w:ascii="Work Sans" w:hAnsi="Work Sans"/>
              <w:sz w:val="20"/>
              <w:szCs w:val="20"/>
            </w:rPr>
            <w:fldChar w:fldCharType="separate"/>
          </w:r>
          <w:hyperlink w:anchor="_Toc187514948" w:history="1">
            <w:r w:rsidR="001C3771" w:rsidRPr="005620F6">
              <w:rPr>
                <w:rStyle w:val="Hipercze"/>
                <w:noProof/>
              </w:rPr>
              <w:t>Spis treści</w:t>
            </w:r>
            <w:r w:rsidR="001C3771">
              <w:rPr>
                <w:noProof/>
                <w:webHidden/>
              </w:rPr>
              <w:tab/>
            </w:r>
            <w:r w:rsidR="001C3771">
              <w:rPr>
                <w:noProof/>
                <w:webHidden/>
              </w:rPr>
              <w:fldChar w:fldCharType="begin"/>
            </w:r>
            <w:r w:rsidR="001C3771">
              <w:rPr>
                <w:noProof/>
                <w:webHidden/>
              </w:rPr>
              <w:instrText xml:space="preserve"> PAGEREF _Toc187514948 \h </w:instrText>
            </w:r>
            <w:r w:rsidR="001C3771">
              <w:rPr>
                <w:noProof/>
                <w:webHidden/>
              </w:rPr>
            </w:r>
            <w:r w:rsidR="001C3771">
              <w:rPr>
                <w:noProof/>
                <w:webHidden/>
              </w:rPr>
              <w:fldChar w:fldCharType="separate"/>
            </w:r>
            <w:r w:rsidR="001C3771">
              <w:rPr>
                <w:noProof/>
                <w:webHidden/>
              </w:rPr>
              <w:t>2</w:t>
            </w:r>
            <w:r w:rsidR="001C3771">
              <w:rPr>
                <w:noProof/>
                <w:webHidden/>
              </w:rPr>
              <w:fldChar w:fldCharType="end"/>
            </w:r>
          </w:hyperlink>
        </w:p>
        <w:p w14:paraId="61D64AC3" w14:textId="5CDD99F5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49" w:history="1">
            <w:r w:rsidRPr="005620F6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Cel główny i odniesienie do podstawy programowej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F01B7" w14:textId="4E5D0832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0" w:history="1">
            <w:r w:rsidRPr="005620F6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Omawiane treści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1B261" w14:textId="38A05D37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1" w:history="1">
            <w:r w:rsidRPr="005620F6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Cele szczegółowe (zoperacjonalizowane)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51877" w14:textId="53598B99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2" w:history="1">
            <w:r w:rsidRPr="005620F6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Środki dydaktyczne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8765A" w14:textId="194ACCB7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3" w:history="1">
            <w:r w:rsidRPr="005620F6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Cele wychowawcze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154D3" w14:textId="46AD1170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4" w:history="1">
            <w:r w:rsidRPr="005620F6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Metody i formy pracy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025B5" w14:textId="11F484D8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5" w:history="1">
            <w:r w:rsidRPr="005620F6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Rodzaj lekcji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33864" w14:textId="52734031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6" w:history="1">
            <w:r w:rsidRPr="005620F6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Miejsce przeprowadzenia zajęć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A7318A" w14:textId="5B890C9A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7" w:history="1">
            <w:r w:rsidRPr="005620F6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Czas trwania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4537A" w14:textId="73462D6B" w:rsidR="001C3771" w:rsidRDefault="001C3771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8" w:history="1">
            <w:r w:rsidRPr="005620F6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Uzyskiwanie informacji zwrotnej przez uczestników zajęć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F7061F" w14:textId="51A328B7" w:rsidR="005D5F88" w:rsidRPr="005A3D23" w:rsidRDefault="005D5F88">
          <w:pPr>
            <w:rPr>
              <w:rFonts w:ascii="Work Sans" w:hAnsi="Work Sans"/>
              <w:sz w:val="20"/>
              <w:szCs w:val="20"/>
            </w:rPr>
          </w:pPr>
          <w:r w:rsidRPr="005A3D23">
            <w:rPr>
              <w:rFonts w:ascii="Work Sans" w:hAnsi="Work Sans"/>
              <w:b/>
              <w:bCs/>
              <w:sz w:val="20"/>
              <w:szCs w:val="20"/>
            </w:rPr>
            <w:fldChar w:fldCharType="end"/>
          </w:r>
        </w:p>
      </w:sdtContent>
    </w:sdt>
    <w:p w14:paraId="75317566" w14:textId="265A1292" w:rsidR="005D5F88" w:rsidRPr="005A3D23" w:rsidRDefault="005D5F88" w:rsidP="007266BC">
      <w:pPr>
        <w:rPr>
          <w:rFonts w:ascii="Work Sans" w:eastAsiaTheme="majorEastAsia" w:hAnsi="Work Sans" w:cstheme="majorBidi"/>
          <w:color w:val="2E74B5" w:themeColor="accent1" w:themeShade="BF"/>
          <w:sz w:val="20"/>
          <w:szCs w:val="20"/>
        </w:rPr>
      </w:pPr>
      <w:r w:rsidRPr="005A3D23">
        <w:rPr>
          <w:rFonts w:ascii="Work Sans" w:hAnsi="Work Sans"/>
          <w:sz w:val="20"/>
          <w:szCs w:val="20"/>
        </w:rPr>
        <w:br w:type="page"/>
      </w:r>
    </w:p>
    <w:p w14:paraId="578F3DC7" w14:textId="31227E1D" w:rsidR="00962778" w:rsidRPr="00366E64" w:rsidRDefault="00E352EE" w:rsidP="00E352EE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2" w:name="_Toc187514949"/>
      <w:r w:rsidRPr="00366E64">
        <w:rPr>
          <w:sz w:val="22"/>
          <w:szCs w:val="22"/>
        </w:rPr>
        <w:lastRenderedPageBreak/>
        <w:t>Cel główny</w:t>
      </w:r>
      <w:r w:rsidR="00D11613">
        <w:rPr>
          <w:sz w:val="22"/>
          <w:szCs w:val="22"/>
        </w:rPr>
        <w:t xml:space="preserve"> </w:t>
      </w:r>
      <w:r w:rsidR="00D11613" w:rsidRPr="00D11613">
        <w:rPr>
          <w:sz w:val="22"/>
          <w:szCs w:val="22"/>
        </w:rPr>
        <w:t>i odniesienie do podstawy programowej</w:t>
      </w:r>
      <w:bookmarkEnd w:id="2"/>
      <w:r w:rsidR="00D11613">
        <w:rPr>
          <w:sz w:val="22"/>
          <w:szCs w:val="22"/>
        </w:rPr>
        <w:t xml:space="preserve"> </w:t>
      </w:r>
    </w:p>
    <w:p w14:paraId="72CD2C5A" w14:textId="77777777" w:rsidR="00E352EE" w:rsidRDefault="00E352EE" w:rsidP="00E352EE">
      <w:pPr>
        <w:ind w:left="360"/>
      </w:pPr>
    </w:p>
    <w:p w14:paraId="7193C151" w14:textId="1D03C908" w:rsidR="00B2393F" w:rsidRDefault="00B2393F" w:rsidP="00B2393F">
      <w:pPr>
        <w:ind w:left="360"/>
      </w:pPr>
      <w:r>
        <w:t xml:space="preserve">Celem zajęć jest rozwój umiejętności współpracy, asertywności oraz zarządzania stresem w kontekście sytuacji grupowych. Uczniowie będą mieli okazję zrozumieć znaczenie zasad i norm społecznych, a także przećwiczyć podejmowanie decyzji i działania w zespole. Dzięki wykorzystaniu gry edukacyjnej </w:t>
      </w:r>
      <w:r>
        <w:t>„</w:t>
      </w:r>
      <w:r>
        <w:t>Nie Panikuj!</w:t>
      </w:r>
      <w:r>
        <w:t>”</w:t>
      </w:r>
      <w:r>
        <w:t xml:space="preserve"> uczniowie doświadczą realistycznych sytuacji wymagających współpracy i szybkiego podejmowania decyzji, co pozwoli im lepiej zrozumieć mechanizmy funkcjonowania grup społecznych oraz własne role w zespole.</w:t>
      </w:r>
    </w:p>
    <w:p w14:paraId="27168BB9" w14:textId="77777777" w:rsidR="00B2393F" w:rsidRDefault="00B2393F" w:rsidP="00B2393F">
      <w:pPr>
        <w:ind w:left="360"/>
      </w:pPr>
      <w:r>
        <w:t>Zajęcia umożliwiają uczniom refleksję nad znaczeniem zasad i norm w życiu grupowym oraz rozwijanie własnych kompetencji w tym zakresie poprzez praktyczne działania. Uczestnicy będą mogli przeanalizować typowe role grupowe, ocenić co sprzyja współpracy, a co ją utrudnia, a także wypracować sposoby radzenia sobie z trudnymi sytuacjami społecznymi.</w:t>
      </w:r>
    </w:p>
    <w:p w14:paraId="03CE8323" w14:textId="77777777" w:rsidR="00B2393F" w:rsidRDefault="00B2393F" w:rsidP="00B2393F">
      <w:pPr>
        <w:ind w:left="360"/>
        <w:rPr>
          <w:b/>
          <w:bCs/>
        </w:rPr>
      </w:pPr>
    </w:p>
    <w:p w14:paraId="6F099CE4" w14:textId="26FAEFCE" w:rsidR="00B2393F" w:rsidRPr="00B2393F" w:rsidRDefault="00B2393F" w:rsidP="00B2393F">
      <w:pPr>
        <w:ind w:left="360"/>
        <w:rPr>
          <w:b/>
          <w:bCs/>
        </w:rPr>
      </w:pPr>
      <w:r w:rsidRPr="00B2393F">
        <w:rPr>
          <w:b/>
          <w:bCs/>
        </w:rPr>
        <w:t>Odniesienia do podstawy programowej</w:t>
      </w:r>
    </w:p>
    <w:p w14:paraId="25BD4611" w14:textId="77777777" w:rsidR="00B2393F" w:rsidRDefault="00B2393F" w:rsidP="00B2393F">
      <w:pPr>
        <w:ind w:left="360"/>
      </w:pPr>
      <w:r>
        <w:t>Szkoła podstawowa (kl. VII-VIII):</w:t>
      </w:r>
    </w:p>
    <w:p w14:paraId="4EDD289A" w14:textId="77777777" w:rsidR="00B2393F" w:rsidRDefault="00B2393F" w:rsidP="00B2393F">
      <w:pPr>
        <w:pStyle w:val="Akapitzlist"/>
        <w:numPr>
          <w:ilvl w:val="0"/>
          <w:numId w:val="51"/>
        </w:numPr>
      </w:pPr>
      <w:r>
        <w:t>Uczeń wymienia cechy grup społecznych, charakteryzuje grupy formalne i nieformalne oraz wskazuje korzyści płynące z efektywnej współpracy (Podstawa programowa wychowania i profilaktyki, dział I pkt 3).</w:t>
      </w:r>
    </w:p>
    <w:p w14:paraId="156B7B8F" w14:textId="77777777" w:rsidR="00B2393F" w:rsidRDefault="00B2393F" w:rsidP="00B2393F">
      <w:pPr>
        <w:ind w:left="360"/>
      </w:pPr>
    </w:p>
    <w:p w14:paraId="576FC7BB" w14:textId="77777777" w:rsidR="00B2393F" w:rsidRDefault="00B2393F" w:rsidP="00B2393F">
      <w:pPr>
        <w:pStyle w:val="Akapitzlist"/>
        <w:numPr>
          <w:ilvl w:val="0"/>
          <w:numId w:val="51"/>
        </w:numPr>
      </w:pPr>
      <w:r>
        <w:t>Uczeń potrafi reagować w trudnych sytuacjach społecznych oraz stosować zachowania asertywne w relacjach z rówieśnikami (dział I pkt 5).</w:t>
      </w:r>
    </w:p>
    <w:p w14:paraId="764E4645" w14:textId="77777777" w:rsidR="00B2393F" w:rsidRDefault="00B2393F" w:rsidP="00B2393F">
      <w:pPr>
        <w:ind w:left="360"/>
      </w:pPr>
    </w:p>
    <w:p w14:paraId="33EAB024" w14:textId="77777777" w:rsidR="00B2393F" w:rsidRDefault="00B2393F" w:rsidP="00B2393F">
      <w:pPr>
        <w:ind w:left="360"/>
      </w:pPr>
      <w:r>
        <w:t>Szkoła średnia (kl. I-II):</w:t>
      </w:r>
    </w:p>
    <w:p w14:paraId="7ABA9BC0" w14:textId="77777777" w:rsidR="00B2393F" w:rsidRDefault="00B2393F" w:rsidP="00B2393F">
      <w:pPr>
        <w:pStyle w:val="Akapitzlist"/>
        <w:numPr>
          <w:ilvl w:val="0"/>
          <w:numId w:val="52"/>
        </w:numPr>
      </w:pPr>
      <w:r>
        <w:t>Uczeń rozwija umiejętności współpracy w grupie, identyfikuje role grupowe oraz rozumie ich znaczenie w procesach grupowych (Podstawa programowa wychowania i profilaktyki).</w:t>
      </w:r>
    </w:p>
    <w:p w14:paraId="63F60EA8" w14:textId="77777777" w:rsidR="00B2393F" w:rsidRDefault="00B2393F" w:rsidP="00B2393F">
      <w:pPr>
        <w:ind w:left="360"/>
      </w:pPr>
    </w:p>
    <w:p w14:paraId="719D3140" w14:textId="77777777" w:rsidR="00B2393F" w:rsidRDefault="00B2393F" w:rsidP="00B2393F">
      <w:pPr>
        <w:pStyle w:val="Akapitzlist"/>
        <w:numPr>
          <w:ilvl w:val="0"/>
          <w:numId w:val="52"/>
        </w:numPr>
      </w:pPr>
      <w:r>
        <w:t>Uczeń poznaje i stosuje zasady zarządzania emocjami i stresem w sytuacjach wymagających podejmowania decyzji oraz współpracy (Podstawa programowa, edukacja dla bezpieczeństwa).</w:t>
      </w:r>
    </w:p>
    <w:p w14:paraId="36774582" w14:textId="77777777" w:rsidR="00B2393F" w:rsidRDefault="00B2393F" w:rsidP="00B2393F">
      <w:pPr>
        <w:ind w:left="360"/>
      </w:pPr>
    </w:p>
    <w:p w14:paraId="0DB4FADA" w14:textId="77777777" w:rsidR="00B2393F" w:rsidRDefault="00B2393F" w:rsidP="00B2393F">
      <w:pPr>
        <w:ind w:left="360"/>
      </w:pPr>
    </w:p>
    <w:p w14:paraId="60104E9C" w14:textId="77777777" w:rsidR="00D11613" w:rsidRDefault="00D11613" w:rsidP="00D11613">
      <w:pPr>
        <w:ind w:left="360"/>
      </w:pPr>
    </w:p>
    <w:p w14:paraId="2604B155" w14:textId="77777777" w:rsidR="00816B50" w:rsidRDefault="00816B50" w:rsidP="00816B50">
      <w:pPr>
        <w:ind w:left="360"/>
      </w:pPr>
    </w:p>
    <w:p w14:paraId="2115B3E9" w14:textId="58A3A7E4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3" w:name="_Toc187514950"/>
      <w:r w:rsidRPr="00816B50">
        <w:rPr>
          <w:sz w:val="22"/>
          <w:szCs w:val="22"/>
        </w:rPr>
        <w:t>Omawiane treści</w:t>
      </w:r>
      <w:bookmarkEnd w:id="3"/>
    </w:p>
    <w:p w14:paraId="1044C86F" w14:textId="77777777" w:rsidR="001454C1" w:rsidRDefault="001454C1" w:rsidP="001454C1"/>
    <w:p w14:paraId="41913F6C" w14:textId="77777777" w:rsidR="00B2393F" w:rsidRDefault="00B2393F" w:rsidP="00B2393F">
      <w:pPr>
        <w:ind w:left="708"/>
      </w:pPr>
      <w:r>
        <w:t>Rola współpracy w budowaniu relacji i osiąganiu wspólnych celów.</w:t>
      </w:r>
    </w:p>
    <w:p w14:paraId="7C56FCDF" w14:textId="77777777" w:rsidR="00B2393F" w:rsidRDefault="00B2393F" w:rsidP="00B2393F">
      <w:pPr>
        <w:ind w:left="708"/>
      </w:pPr>
      <w:r>
        <w:t>Mechanizmy zarządzania stresem i odpowiedzialność za podejmowane decyzje.</w:t>
      </w:r>
    </w:p>
    <w:p w14:paraId="3ACA0F20" w14:textId="77777777" w:rsidR="00B2393F" w:rsidRDefault="00B2393F" w:rsidP="00B2393F">
      <w:pPr>
        <w:ind w:left="708"/>
      </w:pPr>
      <w:r>
        <w:t>Identyfikacja ról w grupie oraz ich znaczenie w procesie rozwiązywania problemów.</w:t>
      </w:r>
    </w:p>
    <w:p w14:paraId="1EB8D1F0" w14:textId="7162EC70" w:rsidR="00A65450" w:rsidRDefault="00B2393F" w:rsidP="00B2393F">
      <w:pPr>
        <w:ind w:left="708"/>
      </w:pPr>
      <w:r>
        <w:t>Analiza mocnych i słabych stron zespołu</w:t>
      </w:r>
      <w:r>
        <w:t>.</w:t>
      </w:r>
    </w:p>
    <w:p w14:paraId="1AC10B59" w14:textId="77777777" w:rsidR="00B2393F" w:rsidRPr="001454C1" w:rsidRDefault="00B2393F" w:rsidP="00B2393F"/>
    <w:p w14:paraId="5FA47B22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4" w:name="_Toc187514951"/>
      <w:r w:rsidRPr="00816B50">
        <w:rPr>
          <w:sz w:val="22"/>
          <w:szCs w:val="22"/>
        </w:rPr>
        <w:t>Cele szczegółowe (zoperacjonalizowane)</w:t>
      </w:r>
      <w:bookmarkEnd w:id="4"/>
      <w:r w:rsidRPr="00816B50">
        <w:rPr>
          <w:sz w:val="22"/>
          <w:szCs w:val="22"/>
        </w:rPr>
        <w:t xml:space="preserve"> </w:t>
      </w:r>
    </w:p>
    <w:p w14:paraId="6F7D1927" w14:textId="77777777" w:rsidR="00860BF7" w:rsidRDefault="00860BF7" w:rsidP="00860BF7"/>
    <w:p w14:paraId="43FF741E" w14:textId="77777777" w:rsidR="00B2393F" w:rsidRPr="00B2393F" w:rsidRDefault="00B2393F" w:rsidP="00B2393F">
      <w:pPr>
        <w:numPr>
          <w:ilvl w:val="0"/>
          <w:numId w:val="53"/>
        </w:numPr>
      </w:pPr>
      <w:r w:rsidRPr="00B2393F">
        <w:t>Uczeń potrafi wskazać kluczowe elementy współpracy w grupie.</w:t>
      </w:r>
    </w:p>
    <w:p w14:paraId="3A167805" w14:textId="77777777" w:rsidR="00B2393F" w:rsidRPr="00B2393F" w:rsidRDefault="00B2393F" w:rsidP="00B2393F">
      <w:pPr>
        <w:numPr>
          <w:ilvl w:val="0"/>
          <w:numId w:val="53"/>
        </w:numPr>
      </w:pPr>
      <w:r w:rsidRPr="00B2393F">
        <w:t>Uczeń zna sposoby radzenia sobie ze stresem w sytuacjach kryzysowych.</w:t>
      </w:r>
    </w:p>
    <w:p w14:paraId="0B07187C" w14:textId="77777777" w:rsidR="00B2393F" w:rsidRPr="00B2393F" w:rsidRDefault="00B2393F" w:rsidP="00B2393F">
      <w:pPr>
        <w:numPr>
          <w:ilvl w:val="0"/>
          <w:numId w:val="53"/>
        </w:numPr>
      </w:pPr>
      <w:r w:rsidRPr="00B2393F">
        <w:t>Uczeń uczestniczy w symulacji, podejmując decyzje grupowe w oparciu o zebrane informacje.</w:t>
      </w:r>
    </w:p>
    <w:p w14:paraId="2A42F729" w14:textId="77777777" w:rsidR="00B2393F" w:rsidRPr="00B2393F" w:rsidRDefault="00B2393F" w:rsidP="00B2393F">
      <w:pPr>
        <w:numPr>
          <w:ilvl w:val="0"/>
          <w:numId w:val="53"/>
        </w:numPr>
      </w:pPr>
      <w:r w:rsidRPr="00B2393F">
        <w:t>Uczeń identyfikuje swoje mocne i słabe strony w pracy zespołowej.</w:t>
      </w:r>
    </w:p>
    <w:p w14:paraId="66109684" w14:textId="77777777" w:rsidR="00B2393F" w:rsidRPr="00B2393F" w:rsidRDefault="00B2393F" w:rsidP="00B2393F">
      <w:pPr>
        <w:numPr>
          <w:ilvl w:val="0"/>
          <w:numId w:val="53"/>
        </w:numPr>
      </w:pPr>
      <w:r w:rsidRPr="00B2393F">
        <w:t>Uczeń otrzymuje konstruktywną informację zwrotną na temat swoich działań w zespole.</w:t>
      </w:r>
    </w:p>
    <w:p w14:paraId="051F6378" w14:textId="77777777" w:rsidR="00860BF7" w:rsidRPr="00860BF7" w:rsidRDefault="00860BF7" w:rsidP="00860BF7"/>
    <w:p w14:paraId="1B80B14C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5" w:name="_Toc187514952"/>
      <w:r w:rsidRPr="00816B50">
        <w:rPr>
          <w:sz w:val="22"/>
          <w:szCs w:val="22"/>
        </w:rPr>
        <w:t>Środki dydaktyczne</w:t>
      </w:r>
      <w:bookmarkEnd w:id="5"/>
    </w:p>
    <w:p w14:paraId="552174C4" w14:textId="77777777" w:rsidR="00860BF7" w:rsidRDefault="00860BF7" w:rsidP="00860BF7"/>
    <w:p w14:paraId="4F0DCFFF" w14:textId="254EB8A6" w:rsidR="00860BF7" w:rsidRPr="00860BF7" w:rsidRDefault="00860BF7" w:rsidP="00860BF7">
      <w:pPr>
        <w:pStyle w:val="Akapitzlist"/>
        <w:numPr>
          <w:ilvl w:val="0"/>
          <w:numId w:val="41"/>
        </w:numPr>
      </w:pPr>
      <w:r>
        <w:t xml:space="preserve">Infrastruktura niezbędna do uruchomienia gry edukacyjnej </w:t>
      </w:r>
      <w:r w:rsidRPr="00860BF7">
        <w:t xml:space="preserve"> „Nie Panikuj!”.</w:t>
      </w:r>
    </w:p>
    <w:p w14:paraId="5FF15BC0" w14:textId="03FA34C0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Projektor multimedialny do prezentacji wyników i omówienia symulacji.</w:t>
      </w:r>
    </w:p>
    <w:p w14:paraId="4959C717" w14:textId="5A747A2E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Arkusze ewaluacyjne do oceny postępów.</w:t>
      </w:r>
    </w:p>
    <w:p w14:paraId="64B1EE39" w14:textId="076C316D" w:rsidR="00860BF7" w:rsidRDefault="00860BF7" w:rsidP="00860BF7">
      <w:pPr>
        <w:pStyle w:val="Akapitzlist"/>
        <w:numPr>
          <w:ilvl w:val="0"/>
          <w:numId w:val="41"/>
        </w:numPr>
      </w:pPr>
      <w:r w:rsidRPr="00860BF7">
        <w:t>Tablica</w:t>
      </w:r>
      <w:r>
        <w:t xml:space="preserve"> lub tablica</w:t>
      </w:r>
      <w:r w:rsidRPr="00860BF7">
        <w:t xml:space="preserve"> interaktywna do zapisania wyników analizy </w:t>
      </w:r>
      <w:r>
        <w:t xml:space="preserve">pracy </w:t>
      </w:r>
      <w:r w:rsidRPr="00860BF7">
        <w:t>zespołu.</w:t>
      </w:r>
    </w:p>
    <w:p w14:paraId="53025DFE" w14:textId="77777777" w:rsidR="00860BF7" w:rsidRDefault="00860BF7" w:rsidP="00860BF7"/>
    <w:p w14:paraId="700401E7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6" w:name="_Toc187514953"/>
      <w:r w:rsidRPr="00816B50">
        <w:rPr>
          <w:sz w:val="22"/>
          <w:szCs w:val="22"/>
        </w:rPr>
        <w:t>Cele wychowawcze</w:t>
      </w:r>
      <w:bookmarkEnd w:id="6"/>
    </w:p>
    <w:p w14:paraId="2E85641B" w14:textId="77777777" w:rsidR="00860BF7" w:rsidRDefault="00860BF7" w:rsidP="00860BF7"/>
    <w:p w14:paraId="41DC027B" w14:textId="77777777" w:rsidR="00B2393F" w:rsidRPr="00B2393F" w:rsidRDefault="00B2393F" w:rsidP="00B2393F">
      <w:pPr>
        <w:numPr>
          <w:ilvl w:val="0"/>
          <w:numId w:val="54"/>
        </w:numPr>
      </w:pPr>
      <w:r w:rsidRPr="00B2393F">
        <w:t>Kształtowanie odpowiedzialności za podejmowane decyzje.</w:t>
      </w:r>
    </w:p>
    <w:p w14:paraId="3057F14A" w14:textId="77777777" w:rsidR="00B2393F" w:rsidRPr="00B2393F" w:rsidRDefault="00B2393F" w:rsidP="00B2393F">
      <w:pPr>
        <w:numPr>
          <w:ilvl w:val="0"/>
          <w:numId w:val="54"/>
        </w:numPr>
      </w:pPr>
      <w:r w:rsidRPr="00B2393F">
        <w:t>Budowanie zaufania i szacunku w grupie.</w:t>
      </w:r>
    </w:p>
    <w:p w14:paraId="38D07E19" w14:textId="77777777" w:rsidR="00B2393F" w:rsidRPr="00B2393F" w:rsidRDefault="00B2393F" w:rsidP="00B2393F">
      <w:pPr>
        <w:numPr>
          <w:ilvl w:val="0"/>
          <w:numId w:val="54"/>
        </w:numPr>
      </w:pPr>
      <w:r w:rsidRPr="00B2393F">
        <w:t>Rozwijanie umiejętności rozwiązywania konfliktów oraz pracy zespołowej.</w:t>
      </w:r>
    </w:p>
    <w:p w14:paraId="3182533C" w14:textId="77777777" w:rsidR="00B2393F" w:rsidRPr="00B2393F" w:rsidRDefault="00B2393F" w:rsidP="00B2393F">
      <w:pPr>
        <w:numPr>
          <w:ilvl w:val="0"/>
          <w:numId w:val="54"/>
        </w:numPr>
      </w:pPr>
      <w:r w:rsidRPr="00B2393F">
        <w:t>Wzmacnianie samooceny poprzez konstruktywną informację zwrotną.</w:t>
      </w:r>
    </w:p>
    <w:p w14:paraId="7EEF3E94" w14:textId="77777777" w:rsidR="00816B50" w:rsidRDefault="00E352EE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7" w:name="_Toc187514954"/>
      <w:r w:rsidRPr="00816B50">
        <w:rPr>
          <w:sz w:val="22"/>
          <w:szCs w:val="22"/>
        </w:rPr>
        <w:lastRenderedPageBreak/>
        <w:t>Metody i formy pracy</w:t>
      </w:r>
      <w:bookmarkEnd w:id="7"/>
    </w:p>
    <w:p w14:paraId="09BAA9ED" w14:textId="77777777" w:rsidR="00860BF7" w:rsidRDefault="00860BF7" w:rsidP="00860BF7"/>
    <w:p w14:paraId="78D76A0E" w14:textId="0226158C" w:rsidR="00860BF7" w:rsidRPr="00860BF7" w:rsidRDefault="00860BF7" w:rsidP="00860BF7">
      <w:pPr>
        <w:ind w:firstLine="360"/>
      </w:pPr>
      <w:r w:rsidRPr="00860BF7">
        <w:rPr>
          <w:b/>
          <w:bCs/>
        </w:rPr>
        <w:t>Metody:</w:t>
      </w:r>
    </w:p>
    <w:p w14:paraId="7B0CA40D" w14:textId="034A95B2" w:rsidR="00860BF7" w:rsidRPr="00860BF7" w:rsidRDefault="00860BF7" w:rsidP="00860BF7">
      <w:pPr>
        <w:numPr>
          <w:ilvl w:val="0"/>
          <w:numId w:val="47"/>
        </w:numPr>
      </w:pPr>
      <w:r w:rsidRPr="00860BF7">
        <w:t xml:space="preserve">Symulacja </w:t>
      </w:r>
      <w:r w:rsidR="00B2393F">
        <w:t>edukacyjna</w:t>
      </w:r>
      <w:r w:rsidRPr="00860BF7">
        <w:t xml:space="preserve"> z wykorzystaniem </w:t>
      </w:r>
      <w:r>
        <w:t>gry edukacyjnej</w:t>
      </w:r>
    </w:p>
    <w:p w14:paraId="2EFE886D" w14:textId="77777777" w:rsidR="00860BF7" w:rsidRPr="00860BF7" w:rsidRDefault="00860BF7" w:rsidP="00860BF7">
      <w:pPr>
        <w:numPr>
          <w:ilvl w:val="0"/>
          <w:numId w:val="47"/>
        </w:numPr>
      </w:pPr>
      <w:r w:rsidRPr="00860BF7">
        <w:t>Analiza i omówienie wyników pracy zespołu (metoda studium przypadku).</w:t>
      </w:r>
    </w:p>
    <w:p w14:paraId="75C48141" w14:textId="2203AB27" w:rsidR="00860BF7" w:rsidRDefault="00860BF7" w:rsidP="00860BF7">
      <w:pPr>
        <w:numPr>
          <w:ilvl w:val="0"/>
          <w:numId w:val="47"/>
        </w:numPr>
      </w:pPr>
      <w:r w:rsidRPr="00860BF7">
        <w:t xml:space="preserve">Dyskusja </w:t>
      </w:r>
      <w:r w:rsidR="00B2393F">
        <w:t>moderowana</w:t>
      </w:r>
      <w:r w:rsidRPr="00860BF7">
        <w:t>.</w:t>
      </w:r>
    </w:p>
    <w:p w14:paraId="532074A8" w14:textId="77777777" w:rsidR="00860BF7" w:rsidRPr="00860BF7" w:rsidRDefault="00860BF7" w:rsidP="00860BF7">
      <w:pPr>
        <w:ind w:left="1428"/>
      </w:pPr>
    </w:p>
    <w:p w14:paraId="0E9F9BA5" w14:textId="4D2DC87D" w:rsidR="00860BF7" w:rsidRPr="00860BF7" w:rsidRDefault="00860BF7" w:rsidP="00860BF7">
      <w:r>
        <w:rPr>
          <w:b/>
          <w:bCs/>
        </w:rPr>
        <w:t xml:space="preserve">      </w:t>
      </w:r>
      <w:r w:rsidRPr="00860BF7">
        <w:rPr>
          <w:b/>
          <w:bCs/>
        </w:rPr>
        <w:t>Formy pracy:</w:t>
      </w:r>
    </w:p>
    <w:p w14:paraId="1C22B454" w14:textId="77777777" w:rsidR="00860BF7" w:rsidRPr="00860BF7" w:rsidRDefault="00860BF7" w:rsidP="00860BF7">
      <w:pPr>
        <w:numPr>
          <w:ilvl w:val="0"/>
          <w:numId w:val="47"/>
        </w:numPr>
      </w:pPr>
      <w:r w:rsidRPr="00860BF7">
        <w:t>Praca w grupach 4–6-osobowych.</w:t>
      </w:r>
    </w:p>
    <w:p w14:paraId="41917E9F" w14:textId="77777777" w:rsidR="00B2393F" w:rsidRPr="00860BF7" w:rsidRDefault="00B2393F" w:rsidP="00B2393F">
      <w:pPr>
        <w:pStyle w:val="Akapitzlist"/>
        <w:numPr>
          <w:ilvl w:val="0"/>
          <w:numId w:val="47"/>
        </w:numPr>
      </w:pPr>
      <w:r>
        <w:t>Praca indywidualna (samoocena i arkusze ewaluacyjne).</w:t>
      </w:r>
    </w:p>
    <w:p w14:paraId="237A1E78" w14:textId="77777777" w:rsidR="00B2393F" w:rsidRDefault="00B2393F" w:rsidP="00B2393F"/>
    <w:p w14:paraId="21724209" w14:textId="77777777" w:rsidR="00816B50" w:rsidRDefault="00E352EE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8" w:name="_Toc187514955"/>
      <w:r w:rsidRPr="00816B50">
        <w:rPr>
          <w:sz w:val="22"/>
          <w:szCs w:val="22"/>
        </w:rPr>
        <w:t>Rodzaj lekcji</w:t>
      </w:r>
      <w:bookmarkEnd w:id="8"/>
    </w:p>
    <w:p w14:paraId="2556E0F6" w14:textId="77777777" w:rsidR="001C3771" w:rsidRDefault="001C3771" w:rsidP="001C3771"/>
    <w:p w14:paraId="31B25D2B" w14:textId="77777777" w:rsidR="00B2393F" w:rsidRPr="00B2393F" w:rsidRDefault="00B2393F" w:rsidP="00B2393F">
      <w:pPr>
        <w:ind w:firstLine="360"/>
      </w:pPr>
      <w:r w:rsidRPr="00B2393F">
        <w:t>Zajęcia warsztatowe z elementami symulacji i analizy praktycznej.</w:t>
      </w:r>
    </w:p>
    <w:p w14:paraId="6CB419AC" w14:textId="77777777" w:rsidR="001C3771" w:rsidRDefault="001C3771" w:rsidP="001C3771"/>
    <w:p w14:paraId="0483F011" w14:textId="77777777" w:rsidR="001C3771" w:rsidRPr="001C3771" w:rsidRDefault="001C3771" w:rsidP="001C3771"/>
    <w:p w14:paraId="78318B86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9" w:name="_Toc187514956"/>
      <w:r w:rsidRPr="00816B50">
        <w:rPr>
          <w:sz w:val="22"/>
          <w:szCs w:val="22"/>
        </w:rPr>
        <w:t>Miejsce przeprowadzenia zajęć</w:t>
      </w:r>
      <w:bookmarkEnd w:id="9"/>
    </w:p>
    <w:p w14:paraId="370AE2C0" w14:textId="77777777" w:rsidR="001C3771" w:rsidRDefault="001C3771" w:rsidP="001C3771"/>
    <w:p w14:paraId="2FB056A6" w14:textId="142BA52E" w:rsidR="001C3771" w:rsidRPr="001C3771" w:rsidRDefault="001C3771" w:rsidP="001C3771">
      <w:pPr>
        <w:ind w:left="720"/>
      </w:pPr>
      <w:r w:rsidRPr="001C3771">
        <w:t>Sala lekcyjna przystosowana do pracy z VR:</w:t>
      </w:r>
    </w:p>
    <w:p w14:paraId="1AF8EE2E" w14:textId="77777777" w:rsidR="001C3771" w:rsidRPr="001C3771" w:rsidRDefault="001C3771" w:rsidP="001C3771">
      <w:pPr>
        <w:numPr>
          <w:ilvl w:val="1"/>
          <w:numId w:val="48"/>
        </w:numPr>
      </w:pPr>
      <w:r w:rsidRPr="001C3771">
        <w:t xml:space="preserve">Wyposażona w gogle VR oraz dostęp do stabilnego </w:t>
      </w:r>
      <w:proofErr w:type="spellStart"/>
      <w:r w:rsidRPr="001C3771">
        <w:t>internetu</w:t>
      </w:r>
      <w:proofErr w:type="spellEnd"/>
      <w:r w:rsidRPr="001C3771">
        <w:t>.</w:t>
      </w:r>
    </w:p>
    <w:p w14:paraId="5AD62650" w14:textId="77777777" w:rsidR="001C3771" w:rsidRPr="001C3771" w:rsidRDefault="001C3771" w:rsidP="001C3771">
      <w:pPr>
        <w:numPr>
          <w:ilvl w:val="1"/>
          <w:numId w:val="48"/>
        </w:numPr>
      </w:pPr>
      <w:r w:rsidRPr="001C3771">
        <w:t>Miejsca siedzące dla obserwatorów i uczestników.</w:t>
      </w:r>
    </w:p>
    <w:p w14:paraId="6488AF77" w14:textId="77777777" w:rsidR="001C3771" w:rsidRDefault="001C3771" w:rsidP="001C3771">
      <w:pPr>
        <w:numPr>
          <w:ilvl w:val="1"/>
          <w:numId w:val="48"/>
        </w:numPr>
      </w:pPr>
      <w:r w:rsidRPr="001C3771">
        <w:t>Projektor multimedialny do wspólnego omawiania wyników.</w:t>
      </w:r>
    </w:p>
    <w:p w14:paraId="1BF57F7A" w14:textId="77777777" w:rsidR="00B2393F" w:rsidRPr="00B2393F" w:rsidRDefault="00B2393F" w:rsidP="00B2393F">
      <w:pPr>
        <w:pStyle w:val="Akapitzlist"/>
        <w:numPr>
          <w:ilvl w:val="1"/>
          <w:numId w:val="48"/>
        </w:numPr>
      </w:pPr>
      <w:r w:rsidRPr="00B2393F">
        <w:t>Miejsca do dyskusji grupowej oraz pracy indywidualnej.</w:t>
      </w:r>
    </w:p>
    <w:p w14:paraId="1E8FADD0" w14:textId="77777777" w:rsidR="001C3771" w:rsidRDefault="001C3771" w:rsidP="001C3771"/>
    <w:p w14:paraId="665E9824" w14:textId="77777777" w:rsidR="00B2393F" w:rsidRDefault="00B2393F" w:rsidP="001C3771"/>
    <w:p w14:paraId="064A4DCD" w14:textId="77777777" w:rsidR="001C3771" w:rsidRDefault="001C3771" w:rsidP="001C3771"/>
    <w:p w14:paraId="3A545E20" w14:textId="77777777" w:rsidR="001C3771" w:rsidRPr="001C3771" w:rsidRDefault="001C3771" w:rsidP="001C3771"/>
    <w:p w14:paraId="6BCF7205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10" w:name="_Toc187514957"/>
      <w:r w:rsidRPr="00816B50">
        <w:rPr>
          <w:sz w:val="22"/>
          <w:szCs w:val="22"/>
        </w:rPr>
        <w:lastRenderedPageBreak/>
        <w:t>Czas trwania</w:t>
      </w:r>
      <w:bookmarkEnd w:id="10"/>
    </w:p>
    <w:p w14:paraId="03874BBC" w14:textId="77777777" w:rsidR="001C3771" w:rsidRDefault="001C3771" w:rsidP="001C3771"/>
    <w:p w14:paraId="13FF23CB" w14:textId="77777777" w:rsidR="001C3771" w:rsidRPr="001C3771" w:rsidRDefault="001C3771" w:rsidP="001C3771">
      <w:pPr>
        <w:ind w:left="360"/>
      </w:pPr>
      <w:r w:rsidRPr="001C3771">
        <w:t>45 minut:</w:t>
      </w:r>
    </w:p>
    <w:p w14:paraId="6F696758" w14:textId="77777777" w:rsidR="00B2393F" w:rsidRDefault="00B2393F" w:rsidP="00B2393F">
      <w:pPr>
        <w:pStyle w:val="Akapitzlist"/>
        <w:numPr>
          <w:ilvl w:val="0"/>
          <w:numId w:val="55"/>
        </w:numPr>
      </w:pPr>
      <w:r>
        <w:t>Wprowadzenie i omówienie celów: 5 minut.</w:t>
      </w:r>
    </w:p>
    <w:p w14:paraId="7A83B8BA" w14:textId="77777777" w:rsidR="00B2393F" w:rsidRDefault="00B2393F" w:rsidP="00B2393F">
      <w:pPr>
        <w:pStyle w:val="Akapitzlist"/>
        <w:numPr>
          <w:ilvl w:val="0"/>
          <w:numId w:val="55"/>
        </w:numPr>
      </w:pPr>
      <w:r>
        <w:t>Symulacja VR: 15 minut.</w:t>
      </w:r>
    </w:p>
    <w:p w14:paraId="435B0D80" w14:textId="77777777" w:rsidR="00B2393F" w:rsidRDefault="00B2393F" w:rsidP="00B2393F">
      <w:pPr>
        <w:pStyle w:val="Akapitzlist"/>
        <w:numPr>
          <w:ilvl w:val="0"/>
          <w:numId w:val="55"/>
        </w:numPr>
      </w:pPr>
      <w:r>
        <w:t>Analiza wyników i dyskusja: 15 minut.</w:t>
      </w:r>
    </w:p>
    <w:p w14:paraId="26B0A3DD" w14:textId="050B97E5" w:rsidR="001C3771" w:rsidRDefault="00B2393F" w:rsidP="00B2393F">
      <w:pPr>
        <w:pStyle w:val="Akapitzlist"/>
        <w:numPr>
          <w:ilvl w:val="0"/>
          <w:numId w:val="55"/>
        </w:numPr>
      </w:pPr>
      <w:r>
        <w:t>Podsumowanie i informacja zwrotna: 10 minut.</w:t>
      </w:r>
    </w:p>
    <w:p w14:paraId="245B9375" w14:textId="77777777" w:rsidR="00B2393F" w:rsidRDefault="00B2393F" w:rsidP="00B2393F">
      <w:pPr>
        <w:pStyle w:val="Akapitzlist"/>
        <w:ind w:left="1080"/>
      </w:pPr>
    </w:p>
    <w:p w14:paraId="483D5342" w14:textId="77777777" w:rsidR="00B2393F" w:rsidRPr="001C3771" w:rsidRDefault="00B2393F" w:rsidP="00B2393F">
      <w:pPr>
        <w:pStyle w:val="Akapitzlist"/>
        <w:ind w:left="1080"/>
      </w:pPr>
    </w:p>
    <w:p w14:paraId="242F3090" w14:textId="34769134" w:rsidR="00366E64" w:rsidRDefault="00366E64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11" w:name="_Toc187514958"/>
      <w:r w:rsidRPr="00816B50">
        <w:rPr>
          <w:sz w:val="22"/>
          <w:szCs w:val="22"/>
        </w:rPr>
        <w:t>Uzyskiwanie informacji zwrotnej przez uczestników zajęć</w:t>
      </w:r>
      <w:bookmarkEnd w:id="11"/>
    </w:p>
    <w:p w14:paraId="2AC0EF82" w14:textId="77777777" w:rsidR="001C3771" w:rsidRDefault="001C3771" w:rsidP="001C3771"/>
    <w:p w14:paraId="23A8541C" w14:textId="77777777" w:rsidR="00B2393F" w:rsidRDefault="00B2393F" w:rsidP="00B2393F">
      <w:pPr>
        <w:pStyle w:val="Akapitzlist"/>
        <w:numPr>
          <w:ilvl w:val="0"/>
          <w:numId w:val="56"/>
        </w:numPr>
        <w:spacing w:after="280"/>
        <w:ind w:left="714" w:hanging="357"/>
      </w:pPr>
      <w:r>
        <w:t>Nagranie z symulacji i raport generowany przez grę VR umożliwiają szczegółową analizę.</w:t>
      </w:r>
    </w:p>
    <w:p w14:paraId="6388F612" w14:textId="77777777" w:rsidR="00B2393F" w:rsidRDefault="00B2393F" w:rsidP="00B2393F">
      <w:pPr>
        <w:pStyle w:val="Akapitzlist"/>
        <w:numPr>
          <w:ilvl w:val="0"/>
          <w:numId w:val="56"/>
        </w:numPr>
        <w:spacing w:after="280"/>
        <w:ind w:left="714" w:hanging="357"/>
      </w:pPr>
      <w:r>
        <w:t>Każdy uczeń wypełnia arkusz ewaluacyjny, oceniając swoje odczucia i efekty pracy zespołowej.</w:t>
      </w:r>
    </w:p>
    <w:p w14:paraId="0E0C2D44" w14:textId="77777777" w:rsidR="00B2393F" w:rsidRDefault="00B2393F" w:rsidP="00B2393F">
      <w:pPr>
        <w:pStyle w:val="Akapitzlist"/>
        <w:numPr>
          <w:ilvl w:val="0"/>
          <w:numId w:val="56"/>
        </w:numPr>
        <w:spacing w:after="280"/>
        <w:ind w:left="714" w:hanging="357"/>
      </w:pPr>
      <w:r>
        <w:t>Wyniki analizy omawiane są wspólnie, a nauczyciel moderuje dyskusję, wskazując obszary sukcesów i możliwe do poprawy.</w:t>
      </w:r>
    </w:p>
    <w:p w14:paraId="6FF68007" w14:textId="77777777" w:rsidR="00B2393F" w:rsidRDefault="00B2393F" w:rsidP="00B2393F">
      <w:pPr>
        <w:pStyle w:val="Akapitzlist"/>
        <w:numPr>
          <w:ilvl w:val="0"/>
          <w:numId w:val="56"/>
        </w:numPr>
        <w:spacing w:after="280"/>
        <w:ind w:left="714" w:hanging="357"/>
      </w:pPr>
      <w:r>
        <w:t>Uczestnicy otrzymują konstruktywną informację zwrotną, która może być wykorzystana w przyszłych działaniach grupowych.</w:t>
      </w:r>
    </w:p>
    <w:p w14:paraId="1B8997FD" w14:textId="77777777" w:rsidR="001C3771" w:rsidRPr="001C3771" w:rsidRDefault="001C3771" w:rsidP="001C3771"/>
    <w:sectPr w:rsidR="001C3771" w:rsidRPr="001C3771" w:rsidSect="00F62D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48" w:right="1417" w:bottom="851" w:left="1417" w:header="568" w:footer="6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CD097" w14:textId="77777777" w:rsidR="006502E2" w:rsidRDefault="006502E2" w:rsidP="00F73B85">
      <w:pPr>
        <w:spacing w:after="0" w:line="240" w:lineRule="auto"/>
      </w:pPr>
      <w:r>
        <w:separator/>
      </w:r>
    </w:p>
  </w:endnote>
  <w:endnote w:type="continuationSeparator" w:id="0">
    <w:p w14:paraId="3915A849" w14:textId="77777777" w:rsidR="006502E2" w:rsidRDefault="006502E2" w:rsidP="00F73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F8818" w14:textId="2BDD52C7" w:rsidR="005A3D23" w:rsidRPr="005A3D23" w:rsidRDefault="005A3D23" w:rsidP="005A3D23">
    <w:pPr>
      <w:pStyle w:val="Stopka"/>
      <w:jc w:val="right"/>
    </w:pPr>
  </w:p>
  <w:p w14:paraId="15A8141A" w14:textId="4FA92A4B" w:rsidR="00A109FB" w:rsidRDefault="005A3D23" w:rsidP="00A109FB">
    <w:pPr>
      <w:pStyle w:val="Stopka"/>
      <w:jc w:val="center"/>
    </w:pPr>
    <w:r w:rsidRPr="005A3D23">
      <w:rPr>
        <w:noProof/>
      </w:rPr>
      <w:drawing>
        <wp:anchor distT="0" distB="0" distL="114300" distR="114300" simplePos="0" relativeHeight="251658240" behindDoc="0" locked="0" layoutInCell="1" allowOverlap="1" wp14:anchorId="3C83BECB" wp14:editId="677B19AB">
          <wp:simplePos x="0" y="0"/>
          <wp:positionH relativeFrom="margin">
            <wp:posOffset>152400</wp:posOffset>
          </wp:positionH>
          <wp:positionV relativeFrom="paragraph">
            <wp:posOffset>-122555</wp:posOffset>
          </wp:positionV>
          <wp:extent cx="5760720" cy="568960"/>
          <wp:effectExtent l="0" t="0" r="0" b="2540"/>
          <wp:wrapSquare wrapText="bothSides"/>
          <wp:docPr id="1999834932" name="Obraz 2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5085263" name="Obraz 2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6A84" w14:textId="28F4664E" w:rsidR="00F62DC2" w:rsidRDefault="00F62DC2">
    <w:pPr>
      <w:pStyle w:val="Stopka"/>
    </w:pPr>
    <w:r>
      <w:rPr>
        <w:noProof/>
      </w:rPr>
      <w:drawing>
        <wp:inline distT="0" distB="0" distL="0" distR="0" wp14:anchorId="145CC00A" wp14:editId="5FD73343">
          <wp:extent cx="5761355" cy="572770"/>
          <wp:effectExtent l="0" t="0" r="0" b="0"/>
          <wp:docPr id="203578504" name="Obraz 1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221938" name="Obraz 1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00740" w14:textId="77777777" w:rsidR="006502E2" w:rsidRDefault="006502E2" w:rsidP="00F73B85">
      <w:pPr>
        <w:spacing w:after="0" w:line="240" w:lineRule="auto"/>
      </w:pPr>
      <w:r>
        <w:separator/>
      </w:r>
    </w:p>
  </w:footnote>
  <w:footnote w:type="continuationSeparator" w:id="0">
    <w:p w14:paraId="10172E89" w14:textId="77777777" w:rsidR="006502E2" w:rsidRDefault="006502E2" w:rsidP="00F73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0050591"/>
      <w:docPartObj>
        <w:docPartGallery w:val="Page Numbers (Top of Page)"/>
        <w:docPartUnique/>
      </w:docPartObj>
    </w:sdtPr>
    <w:sdtContent>
      <w:p w14:paraId="38138CED" w14:textId="731C3B85" w:rsidR="005A3D23" w:rsidRDefault="00F62DC2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0ADE2D38" wp14:editId="20759752">
              <wp:simplePos x="0" y="0"/>
              <wp:positionH relativeFrom="column">
                <wp:posOffset>-499745</wp:posOffset>
              </wp:positionH>
              <wp:positionV relativeFrom="paragraph">
                <wp:posOffset>-141605</wp:posOffset>
              </wp:positionV>
              <wp:extent cx="3286125" cy="603250"/>
              <wp:effectExtent l="0" t="0" r="9525" b="6350"/>
              <wp:wrapSquare wrapText="bothSides"/>
              <wp:docPr id="556071805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86125" cy="6032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5A3D23">
          <w:fldChar w:fldCharType="begin"/>
        </w:r>
        <w:r w:rsidR="005A3D23">
          <w:instrText>PAGE   \* MERGEFORMAT</w:instrText>
        </w:r>
        <w:r w:rsidR="005A3D23">
          <w:fldChar w:fldCharType="separate"/>
        </w:r>
        <w:r w:rsidR="005A3D23">
          <w:t>2</w:t>
        </w:r>
        <w:r w:rsidR="005A3D23">
          <w:fldChar w:fldCharType="end"/>
        </w:r>
      </w:p>
    </w:sdtContent>
  </w:sdt>
  <w:p w14:paraId="2091DEA8" w14:textId="4E717ED9" w:rsidR="00A109FB" w:rsidRDefault="00A109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D3AA7" w14:textId="3E2F69E1" w:rsidR="007A3585" w:rsidRDefault="005A3D23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BFDC052" wp14:editId="63E13B7E">
          <wp:simplePos x="0" y="0"/>
          <wp:positionH relativeFrom="margin">
            <wp:posOffset>-704850</wp:posOffset>
          </wp:positionH>
          <wp:positionV relativeFrom="paragraph">
            <wp:posOffset>-267335</wp:posOffset>
          </wp:positionV>
          <wp:extent cx="3288030" cy="599440"/>
          <wp:effectExtent l="0" t="0" r="7620" b="0"/>
          <wp:wrapTight wrapText="bothSides">
            <wp:wrapPolygon edited="0">
              <wp:start x="0" y="0"/>
              <wp:lineTo x="0" y="20593"/>
              <wp:lineTo x="21525" y="20593"/>
              <wp:lineTo x="21525" y="0"/>
              <wp:lineTo x="0" y="0"/>
            </wp:wrapPolygon>
          </wp:wrapTight>
          <wp:docPr id="1708029042" name="Obraz 1708029042" descr="LOGOTYP POPJUTRZE. Czarny napis POPOJUTRZE na białym tle z poziomą kreską na końcu wyraz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3919147" name="Obraz 473919147" descr="LOGOTYP POPJUTRZE. Czarny napis POPOJUTRZE na białym tle z poziomą kreską na końcu wyraz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803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E27C6"/>
    <w:multiLevelType w:val="hybridMultilevel"/>
    <w:tmpl w:val="39FC0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66CF0"/>
    <w:multiLevelType w:val="multilevel"/>
    <w:tmpl w:val="190C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861D0"/>
    <w:multiLevelType w:val="hybridMultilevel"/>
    <w:tmpl w:val="448E6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71250"/>
    <w:multiLevelType w:val="multilevel"/>
    <w:tmpl w:val="6D84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6447AE"/>
    <w:multiLevelType w:val="multilevel"/>
    <w:tmpl w:val="36A24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991FAE"/>
    <w:multiLevelType w:val="multilevel"/>
    <w:tmpl w:val="26B67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82B64A8"/>
    <w:multiLevelType w:val="hybridMultilevel"/>
    <w:tmpl w:val="AC641B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C24802"/>
    <w:multiLevelType w:val="multilevel"/>
    <w:tmpl w:val="74EA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CB178F"/>
    <w:multiLevelType w:val="multilevel"/>
    <w:tmpl w:val="E60E2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036A14"/>
    <w:multiLevelType w:val="multilevel"/>
    <w:tmpl w:val="D0DAB6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93419B"/>
    <w:multiLevelType w:val="hybridMultilevel"/>
    <w:tmpl w:val="A7B429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53640C"/>
    <w:multiLevelType w:val="multilevel"/>
    <w:tmpl w:val="EFD8F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5F601D3"/>
    <w:multiLevelType w:val="multilevel"/>
    <w:tmpl w:val="626AE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1E4925"/>
    <w:multiLevelType w:val="hybridMultilevel"/>
    <w:tmpl w:val="86AAC2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BF620C"/>
    <w:multiLevelType w:val="hybridMultilevel"/>
    <w:tmpl w:val="876CC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E0A6BD1"/>
    <w:multiLevelType w:val="hybridMultilevel"/>
    <w:tmpl w:val="5888B6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8E1481"/>
    <w:multiLevelType w:val="multilevel"/>
    <w:tmpl w:val="EFD8F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FEF1E91"/>
    <w:multiLevelType w:val="hybridMultilevel"/>
    <w:tmpl w:val="03006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EA2506"/>
    <w:multiLevelType w:val="hybridMultilevel"/>
    <w:tmpl w:val="2A902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312781"/>
    <w:multiLevelType w:val="hybridMultilevel"/>
    <w:tmpl w:val="51E67C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1E0A40"/>
    <w:multiLevelType w:val="multilevel"/>
    <w:tmpl w:val="CE02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5AB15B3"/>
    <w:multiLevelType w:val="hybridMultilevel"/>
    <w:tmpl w:val="90F45C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9B2624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6F3A6F"/>
    <w:multiLevelType w:val="hybridMultilevel"/>
    <w:tmpl w:val="80C443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87A4D34"/>
    <w:multiLevelType w:val="hybridMultilevel"/>
    <w:tmpl w:val="05F26D64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6F7A09"/>
    <w:multiLevelType w:val="hybridMultilevel"/>
    <w:tmpl w:val="3B40880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AE5B42"/>
    <w:multiLevelType w:val="hybridMultilevel"/>
    <w:tmpl w:val="787CA9D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77764D"/>
    <w:multiLevelType w:val="hybridMultilevel"/>
    <w:tmpl w:val="16981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7D58D8"/>
    <w:multiLevelType w:val="hybridMultilevel"/>
    <w:tmpl w:val="CCBCEE98"/>
    <w:lvl w:ilvl="0" w:tplc="7B143434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E000BF"/>
    <w:multiLevelType w:val="hybridMultilevel"/>
    <w:tmpl w:val="A6AA6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23123EF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39E3B55"/>
    <w:multiLevelType w:val="hybridMultilevel"/>
    <w:tmpl w:val="DC58C0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62530DC"/>
    <w:multiLevelType w:val="hybridMultilevel"/>
    <w:tmpl w:val="4B5A34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D213A8B"/>
    <w:multiLevelType w:val="hybridMultilevel"/>
    <w:tmpl w:val="3F889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A29AA"/>
    <w:multiLevelType w:val="hybridMultilevel"/>
    <w:tmpl w:val="594074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6B288B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F775B51"/>
    <w:multiLevelType w:val="hybridMultilevel"/>
    <w:tmpl w:val="1292C8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502E4474"/>
    <w:multiLevelType w:val="multilevel"/>
    <w:tmpl w:val="26B67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52CD5078"/>
    <w:multiLevelType w:val="hybridMultilevel"/>
    <w:tmpl w:val="B0ECCB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8E479E"/>
    <w:multiLevelType w:val="hybridMultilevel"/>
    <w:tmpl w:val="8D78B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C849BD"/>
    <w:multiLevelType w:val="multilevel"/>
    <w:tmpl w:val="55CC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8D947A5"/>
    <w:multiLevelType w:val="hybridMultilevel"/>
    <w:tmpl w:val="78D29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B79E0"/>
    <w:multiLevelType w:val="hybridMultilevel"/>
    <w:tmpl w:val="BAE0A3E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07C4439"/>
    <w:multiLevelType w:val="hybridMultilevel"/>
    <w:tmpl w:val="2968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1D1EFC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C87520A"/>
    <w:multiLevelType w:val="hybridMultilevel"/>
    <w:tmpl w:val="00AC3B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634DEC"/>
    <w:multiLevelType w:val="hybridMultilevel"/>
    <w:tmpl w:val="522008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7287870"/>
    <w:multiLevelType w:val="hybridMultilevel"/>
    <w:tmpl w:val="A88EFA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A526654"/>
    <w:multiLevelType w:val="hybridMultilevel"/>
    <w:tmpl w:val="F18640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A706C5F"/>
    <w:multiLevelType w:val="hybridMultilevel"/>
    <w:tmpl w:val="6BA634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F413BD8"/>
    <w:multiLevelType w:val="hybridMultilevel"/>
    <w:tmpl w:val="2E76F0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2517877">
    <w:abstractNumId w:val="5"/>
  </w:num>
  <w:num w:numId="2" w16cid:durableId="1505322940">
    <w:abstractNumId w:val="30"/>
  </w:num>
  <w:num w:numId="3" w16cid:durableId="831989892">
    <w:abstractNumId w:val="22"/>
  </w:num>
  <w:num w:numId="4" w16cid:durableId="1255939015">
    <w:abstractNumId w:val="35"/>
  </w:num>
  <w:num w:numId="5" w16cid:durableId="1413939728">
    <w:abstractNumId w:val="44"/>
  </w:num>
  <w:num w:numId="6" w16cid:durableId="62996558">
    <w:abstractNumId w:val="16"/>
  </w:num>
  <w:num w:numId="7" w16cid:durableId="113985705">
    <w:abstractNumId w:val="17"/>
  </w:num>
  <w:num w:numId="8" w16cid:durableId="8411704">
    <w:abstractNumId w:val="18"/>
  </w:num>
  <w:num w:numId="9" w16cid:durableId="508837177">
    <w:abstractNumId w:val="41"/>
  </w:num>
  <w:num w:numId="10" w16cid:durableId="1339115935">
    <w:abstractNumId w:val="43"/>
  </w:num>
  <w:num w:numId="11" w16cid:durableId="1173955974">
    <w:abstractNumId w:val="42"/>
  </w:num>
  <w:num w:numId="12" w16cid:durableId="1731345633">
    <w:abstractNumId w:val="24"/>
  </w:num>
  <w:num w:numId="13" w16cid:durableId="562910989">
    <w:abstractNumId w:val="33"/>
  </w:num>
  <w:num w:numId="14" w16cid:durableId="1836216948">
    <w:abstractNumId w:val="45"/>
  </w:num>
  <w:num w:numId="15" w16cid:durableId="558634976">
    <w:abstractNumId w:val="15"/>
  </w:num>
  <w:num w:numId="16" w16cid:durableId="851837095">
    <w:abstractNumId w:val="14"/>
  </w:num>
  <w:num w:numId="17" w16cid:durableId="497160376">
    <w:abstractNumId w:val="21"/>
  </w:num>
  <w:num w:numId="18" w16cid:durableId="1994215240">
    <w:abstractNumId w:val="23"/>
  </w:num>
  <w:num w:numId="19" w16cid:durableId="52194689">
    <w:abstractNumId w:val="29"/>
  </w:num>
  <w:num w:numId="20" w16cid:durableId="525214586">
    <w:abstractNumId w:val="47"/>
  </w:num>
  <w:num w:numId="21" w16cid:durableId="1590886436">
    <w:abstractNumId w:val="31"/>
  </w:num>
  <w:num w:numId="22" w16cid:durableId="246694964">
    <w:abstractNumId w:val="50"/>
  </w:num>
  <w:num w:numId="23" w16cid:durableId="1956011709">
    <w:abstractNumId w:val="32"/>
  </w:num>
  <w:num w:numId="24" w16cid:durableId="640959109">
    <w:abstractNumId w:val="49"/>
  </w:num>
  <w:num w:numId="25" w16cid:durableId="413211201">
    <w:abstractNumId w:val="27"/>
  </w:num>
  <w:num w:numId="26" w16cid:durableId="340277181">
    <w:abstractNumId w:val="0"/>
  </w:num>
  <w:num w:numId="27" w16cid:durableId="1530795872">
    <w:abstractNumId w:val="11"/>
  </w:num>
  <w:num w:numId="28" w16cid:durableId="1573736634">
    <w:abstractNumId w:val="28"/>
  </w:num>
  <w:num w:numId="29" w16cid:durableId="923102926">
    <w:abstractNumId w:val="28"/>
  </w:num>
  <w:num w:numId="30" w16cid:durableId="1997487401">
    <w:abstractNumId w:val="9"/>
  </w:num>
  <w:num w:numId="31" w16cid:durableId="528639086">
    <w:abstractNumId w:val="28"/>
  </w:num>
  <w:num w:numId="32" w16cid:durableId="1678919645">
    <w:abstractNumId w:val="37"/>
  </w:num>
  <w:num w:numId="33" w16cid:durableId="1181504353">
    <w:abstractNumId w:val="28"/>
  </w:num>
  <w:num w:numId="34" w16cid:durableId="387383611">
    <w:abstractNumId w:val="28"/>
  </w:num>
  <w:num w:numId="35" w16cid:durableId="218714415">
    <w:abstractNumId w:val="28"/>
  </w:num>
  <w:num w:numId="36" w16cid:durableId="908423423">
    <w:abstractNumId w:val="26"/>
  </w:num>
  <w:num w:numId="37" w16cid:durableId="2094930916">
    <w:abstractNumId w:val="34"/>
  </w:num>
  <w:num w:numId="38" w16cid:durableId="1800101001">
    <w:abstractNumId w:val="25"/>
  </w:num>
  <w:num w:numId="39" w16cid:durableId="381364568">
    <w:abstractNumId w:val="10"/>
  </w:num>
  <w:num w:numId="40" w16cid:durableId="1300837442">
    <w:abstractNumId w:val="48"/>
  </w:num>
  <w:num w:numId="41" w16cid:durableId="1757365982">
    <w:abstractNumId w:val="8"/>
  </w:num>
  <w:num w:numId="42" w16cid:durableId="127481466">
    <w:abstractNumId w:val="6"/>
  </w:num>
  <w:num w:numId="43" w16cid:durableId="1999067528">
    <w:abstractNumId w:val="46"/>
  </w:num>
  <w:num w:numId="44" w16cid:durableId="721707206">
    <w:abstractNumId w:val="39"/>
  </w:num>
  <w:num w:numId="45" w16cid:durableId="816730602">
    <w:abstractNumId w:val="3"/>
  </w:num>
  <w:num w:numId="46" w16cid:durableId="169759100">
    <w:abstractNumId w:val="40"/>
  </w:num>
  <w:num w:numId="47" w16cid:durableId="653534185">
    <w:abstractNumId w:val="36"/>
  </w:num>
  <w:num w:numId="48" w16cid:durableId="1880049505">
    <w:abstractNumId w:val="4"/>
  </w:num>
  <w:num w:numId="49" w16cid:durableId="856386094">
    <w:abstractNumId w:val="20"/>
  </w:num>
  <w:num w:numId="50" w16cid:durableId="873888605">
    <w:abstractNumId w:val="1"/>
  </w:num>
  <w:num w:numId="51" w16cid:durableId="526676954">
    <w:abstractNumId w:val="19"/>
  </w:num>
  <w:num w:numId="52" w16cid:durableId="418260609">
    <w:abstractNumId w:val="38"/>
  </w:num>
  <w:num w:numId="53" w16cid:durableId="1905527178">
    <w:abstractNumId w:val="7"/>
  </w:num>
  <w:num w:numId="54" w16cid:durableId="286474579">
    <w:abstractNumId w:val="12"/>
  </w:num>
  <w:num w:numId="55" w16cid:durableId="1099716431">
    <w:abstractNumId w:val="13"/>
  </w:num>
  <w:num w:numId="56" w16cid:durableId="695469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B85"/>
    <w:rsid w:val="00005431"/>
    <w:rsid w:val="00024CDD"/>
    <w:rsid w:val="00043946"/>
    <w:rsid w:val="00066BB8"/>
    <w:rsid w:val="0007653E"/>
    <w:rsid w:val="00092F14"/>
    <w:rsid w:val="000A19BE"/>
    <w:rsid w:val="000B704E"/>
    <w:rsid w:val="00104CA9"/>
    <w:rsid w:val="00122C8E"/>
    <w:rsid w:val="00126ADE"/>
    <w:rsid w:val="00133CF2"/>
    <w:rsid w:val="00142235"/>
    <w:rsid w:val="001454C1"/>
    <w:rsid w:val="0017519B"/>
    <w:rsid w:val="00185130"/>
    <w:rsid w:val="001A5369"/>
    <w:rsid w:val="001C3771"/>
    <w:rsid w:val="001C5027"/>
    <w:rsid w:val="001F7130"/>
    <w:rsid w:val="001F7A54"/>
    <w:rsid w:val="00230A34"/>
    <w:rsid w:val="00245797"/>
    <w:rsid w:val="0025143A"/>
    <w:rsid w:val="00260520"/>
    <w:rsid w:val="00263AC3"/>
    <w:rsid w:val="002B05EE"/>
    <w:rsid w:val="003276A8"/>
    <w:rsid w:val="003611E1"/>
    <w:rsid w:val="00366E64"/>
    <w:rsid w:val="003A4B41"/>
    <w:rsid w:val="003B4D08"/>
    <w:rsid w:val="004A4085"/>
    <w:rsid w:val="004D5188"/>
    <w:rsid w:val="004D7D62"/>
    <w:rsid w:val="00502857"/>
    <w:rsid w:val="005646B5"/>
    <w:rsid w:val="00580A10"/>
    <w:rsid w:val="00592F8C"/>
    <w:rsid w:val="005A3D23"/>
    <w:rsid w:val="005B5C86"/>
    <w:rsid w:val="005D5F88"/>
    <w:rsid w:val="0062532A"/>
    <w:rsid w:val="006502E2"/>
    <w:rsid w:val="0065650B"/>
    <w:rsid w:val="006939A9"/>
    <w:rsid w:val="007266BC"/>
    <w:rsid w:val="00744ED9"/>
    <w:rsid w:val="00796CD0"/>
    <w:rsid w:val="007A3585"/>
    <w:rsid w:val="007A516E"/>
    <w:rsid w:val="007B5712"/>
    <w:rsid w:val="007F4A54"/>
    <w:rsid w:val="00802074"/>
    <w:rsid w:val="00815A14"/>
    <w:rsid w:val="00816B50"/>
    <w:rsid w:val="00831449"/>
    <w:rsid w:val="00841595"/>
    <w:rsid w:val="00860BF7"/>
    <w:rsid w:val="00872D04"/>
    <w:rsid w:val="00876F18"/>
    <w:rsid w:val="008A7422"/>
    <w:rsid w:val="00903425"/>
    <w:rsid w:val="0091205A"/>
    <w:rsid w:val="00922F29"/>
    <w:rsid w:val="00962778"/>
    <w:rsid w:val="009A0DA8"/>
    <w:rsid w:val="009E7F22"/>
    <w:rsid w:val="009F1EFA"/>
    <w:rsid w:val="00A04644"/>
    <w:rsid w:val="00A109FB"/>
    <w:rsid w:val="00A2761B"/>
    <w:rsid w:val="00A640FD"/>
    <w:rsid w:val="00A65450"/>
    <w:rsid w:val="00AB5684"/>
    <w:rsid w:val="00AD7A54"/>
    <w:rsid w:val="00AE47D0"/>
    <w:rsid w:val="00AF328D"/>
    <w:rsid w:val="00AF70A8"/>
    <w:rsid w:val="00B2393F"/>
    <w:rsid w:val="00B305C4"/>
    <w:rsid w:val="00B338C9"/>
    <w:rsid w:val="00B35267"/>
    <w:rsid w:val="00B60D46"/>
    <w:rsid w:val="00B7266C"/>
    <w:rsid w:val="00B73820"/>
    <w:rsid w:val="00B76332"/>
    <w:rsid w:val="00B8468F"/>
    <w:rsid w:val="00B952A6"/>
    <w:rsid w:val="00BA0E5A"/>
    <w:rsid w:val="00BA6535"/>
    <w:rsid w:val="00C0345A"/>
    <w:rsid w:val="00C9199F"/>
    <w:rsid w:val="00CB67DA"/>
    <w:rsid w:val="00CD2778"/>
    <w:rsid w:val="00CE2E66"/>
    <w:rsid w:val="00CF30F3"/>
    <w:rsid w:val="00CF551F"/>
    <w:rsid w:val="00CF6FD8"/>
    <w:rsid w:val="00D03438"/>
    <w:rsid w:val="00D11613"/>
    <w:rsid w:val="00D16610"/>
    <w:rsid w:val="00D33B35"/>
    <w:rsid w:val="00D432BF"/>
    <w:rsid w:val="00D93EA4"/>
    <w:rsid w:val="00DD144C"/>
    <w:rsid w:val="00E352EE"/>
    <w:rsid w:val="00E673DE"/>
    <w:rsid w:val="00EA0796"/>
    <w:rsid w:val="00F20977"/>
    <w:rsid w:val="00F372F1"/>
    <w:rsid w:val="00F448B2"/>
    <w:rsid w:val="00F50EFD"/>
    <w:rsid w:val="00F61CE7"/>
    <w:rsid w:val="00F62DC2"/>
    <w:rsid w:val="00F638E0"/>
    <w:rsid w:val="00F651CC"/>
    <w:rsid w:val="00F73B85"/>
    <w:rsid w:val="00F768A3"/>
    <w:rsid w:val="00F9463F"/>
    <w:rsid w:val="00FB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B05A7"/>
  <w15:chartTrackingRefBased/>
  <w15:docId w15:val="{4E83BBF4-2086-4681-9061-58D717E1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3D23"/>
    <w:pPr>
      <w:keepNext/>
      <w:keepLines/>
      <w:numPr>
        <w:numId w:val="28"/>
      </w:numPr>
      <w:spacing w:before="240" w:after="0"/>
      <w:outlineLvl w:val="0"/>
    </w:pPr>
    <w:rPr>
      <w:rFonts w:ascii="Work Sans" w:eastAsiaTheme="majorEastAsia" w:hAnsi="Work Sans" w:cstheme="majorBidi"/>
      <w:b/>
      <w:color w:val="00206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3585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34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3585"/>
    <w:pPr>
      <w:keepNext/>
      <w:keepLines/>
      <w:spacing w:before="40" w:after="0"/>
      <w:outlineLvl w:val="3"/>
    </w:pPr>
    <w:rPr>
      <w:rFonts w:ascii="Work Sans" w:eastAsiaTheme="majorEastAsia" w:hAnsi="Work Sans" w:cstheme="majorBidi"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B85"/>
  </w:style>
  <w:style w:type="paragraph" w:styleId="Stopka">
    <w:name w:val="footer"/>
    <w:basedOn w:val="Normalny"/>
    <w:link w:val="StopkaZnak"/>
    <w:uiPriority w:val="99"/>
    <w:unhideWhenUsed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B85"/>
  </w:style>
  <w:style w:type="paragraph" w:styleId="Tytu">
    <w:name w:val="Title"/>
    <w:basedOn w:val="Normalny"/>
    <w:next w:val="Normalny"/>
    <w:link w:val="TytuZnak"/>
    <w:uiPriority w:val="10"/>
    <w:qFormat/>
    <w:rsid w:val="00F73B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3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A3D23"/>
    <w:rPr>
      <w:rFonts w:ascii="Work Sans" w:eastAsiaTheme="majorEastAsia" w:hAnsi="Work Sans" w:cstheme="majorBidi"/>
      <w:b/>
      <w:color w:val="002060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A3585"/>
    <w:rPr>
      <w:rFonts w:ascii="Work Sans" w:eastAsiaTheme="majorEastAsia" w:hAnsi="Work Sans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034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143A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D5F8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D5F8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D5F8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D5F8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5D5F8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45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B05E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30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30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30F3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7A3585"/>
    <w:rPr>
      <w:rFonts w:ascii="Work Sans" w:eastAsiaTheme="majorEastAsia" w:hAnsi="Work Sans" w:cstheme="majorBidi"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27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27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7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778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0E5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40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A7073-C996-49EC-A434-126BEC16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S.</dc:creator>
  <cp:keywords/>
  <dc:description/>
  <cp:lastModifiedBy>Rafał Olszowski</cp:lastModifiedBy>
  <cp:revision>4</cp:revision>
  <dcterms:created xsi:type="dcterms:W3CDTF">2025-01-11T18:32:00Z</dcterms:created>
  <dcterms:modified xsi:type="dcterms:W3CDTF">2025-01-11T18:40:00Z</dcterms:modified>
</cp:coreProperties>
</file>